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BE620" w14:textId="1CB2C93B" w:rsidR="00904D6D" w:rsidRPr="005B5325" w:rsidRDefault="00250A66" w:rsidP="00D642E5">
      <w:pPr>
        <w:pStyle w:val="Title"/>
        <w:rPr>
          <w:bCs w:val="0"/>
          <w:caps/>
          <w:szCs w:val="28"/>
          <w:lang w:val="en-US"/>
        </w:rPr>
      </w:pPr>
      <w:r w:rsidRPr="00250A66">
        <w:rPr>
          <w:rFonts w:ascii="Arial" w:hAnsi="Arial" w:cs="Arial"/>
          <w:sz w:val="32"/>
          <w:szCs w:val="32"/>
        </w:rPr>
        <w:t xml:space="preserve"> </w:t>
      </w:r>
      <w:r w:rsidR="008E151E" w:rsidRPr="008E151E">
        <w:rPr>
          <w:bCs w:val="0"/>
          <w:szCs w:val="28"/>
          <w:lang w:val="en-US"/>
        </w:rPr>
        <w:t xml:space="preserve">DEVELOPMENT OF A BLUEPRINT FOR AN INFORMATION SYSTEM </w:t>
      </w:r>
      <w:r w:rsidR="00625AEA">
        <w:rPr>
          <w:bCs w:val="0"/>
          <w:szCs w:val="28"/>
          <w:lang w:val="en-US"/>
        </w:rPr>
        <w:t>TO</w:t>
      </w:r>
      <w:r w:rsidR="008E151E" w:rsidRPr="008E151E">
        <w:rPr>
          <w:bCs w:val="0"/>
          <w:szCs w:val="28"/>
          <w:lang w:val="en-US"/>
        </w:rPr>
        <w:t xml:space="preserve"> MONITORING THE LEARNING PROCESS POST-COVID-19 PANDEMIC</w:t>
      </w:r>
    </w:p>
    <w:p w14:paraId="17784B72" w14:textId="1B1BE7BC" w:rsidR="00904D6D" w:rsidRPr="00945F29" w:rsidRDefault="00904D6D" w:rsidP="00D642E5">
      <w:pPr>
        <w:jc w:val="center"/>
        <w:rPr>
          <w:sz w:val="22"/>
          <w:szCs w:val="22"/>
          <w:lang w:val="id-ID"/>
        </w:rPr>
      </w:pPr>
    </w:p>
    <w:p w14:paraId="7CF30484" w14:textId="77777777" w:rsidR="00904D6D" w:rsidRPr="00145201" w:rsidRDefault="00904D6D" w:rsidP="00D642E5">
      <w:pPr>
        <w:jc w:val="center"/>
        <w:rPr>
          <w:b/>
          <w:bCs/>
          <w:sz w:val="22"/>
          <w:szCs w:val="22"/>
        </w:rPr>
      </w:pPr>
    </w:p>
    <w:p w14:paraId="12012D53" w14:textId="77777777" w:rsidR="00250A66" w:rsidRPr="00145201" w:rsidRDefault="00250A66" w:rsidP="00D642E5">
      <w:pPr>
        <w:jc w:val="center"/>
        <w:rPr>
          <w:b/>
          <w:bCs/>
          <w:sz w:val="22"/>
          <w:szCs w:val="22"/>
        </w:rPr>
      </w:pPr>
    </w:p>
    <w:p w14:paraId="523475E2" w14:textId="64682095" w:rsidR="00904D6D" w:rsidRPr="008E151E" w:rsidRDefault="008E151E" w:rsidP="00D642E5">
      <w:pPr>
        <w:jc w:val="center"/>
        <w:rPr>
          <w:b/>
          <w:bCs/>
          <w:sz w:val="22"/>
          <w:szCs w:val="22"/>
          <w:vertAlign w:val="superscript"/>
        </w:rPr>
      </w:pPr>
      <w:r>
        <w:rPr>
          <w:b/>
          <w:bCs/>
          <w:sz w:val="22"/>
          <w:szCs w:val="22"/>
        </w:rPr>
        <w:t>Yuniana Cahyaningrum¹*</w:t>
      </w:r>
    </w:p>
    <w:p w14:paraId="419B49CD" w14:textId="09B6D7F0" w:rsidR="00040355" w:rsidRPr="00040355" w:rsidRDefault="00040355" w:rsidP="00D642E5">
      <w:pPr>
        <w:jc w:val="center"/>
        <w:rPr>
          <w:b/>
          <w:bCs/>
          <w:sz w:val="22"/>
          <w:szCs w:val="22"/>
          <w:lang w:val="id-ID"/>
        </w:rPr>
      </w:pPr>
    </w:p>
    <w:p w14:paraId="6659601E" w14:textId="77777777" w:rsidR="008E151E" w:rsidRDefault="00040355" w:rsidP="00D642E5">
      <w:pPr>
        <w:jc w:val="center"/>
      </w:pPr>
      <w:r w:rsidRPr="008E151E">
        <w:rPr>
          <w:vertAlign w:val="superscript"/>
          <w:lang w:val="id-ID"/>
        </w:rPr>
        <w:t>1)</w:t>
      </w:r>
      <w:r w:rsidR="008E151E">
        <w:rPr>
          <w:vertAlign w:val="superscript"/>
          <w:lang w:val="id-ID"/>
        </w:rPr>
        <w:t>*</w:t>
      </w:r>
      <w:r w:rsidR="008E151E" w:rsidRPr="008E151E">
        <w:t xml:space="preserve"> Information Technology Education Study Program, Faculty of Mathematics and Science, </w:t>
      </w:r>
    </w:p>
    <w:p w14:paraId="7D6B0A1F" w14:textId="481B9CC0" w:rsidR="003226B6" w:rsidRPr="008E151E" w:rsidRDefault="008E151E" w:rsidP="00D642E5">
      <w:pPr>
        <w:jc w:val="center"/>
        <w:rPr>
          <w:lang w:val="id-ID"/>
        </w:rPr>
      </w:pPr>
      <w:r w:rsidRPr="008E151E">
        <w:t xml:space="preserve">IKIP PGRI </w:t>
      </w:r>
      <w:proofErr w:type="spellStart"/>
      <w:r w:rsidRPr="008E151E">
        <w:t>Bojonegoro</w:t>
      </w:r>
      <w:proofErr w:type="spellEnd"/>
    </w:p>
    <w:p w14:paraId="0E704080" w14:textId="1D4D61A3" w:rsidR="00904D6D" w:rsidRPr="00040355" w:rsidRDefault="00904D6D" w:rsidP="00D642E5">
      <w:pPr>
        <w:jc w:val="center"/>
        <w:rPr>
          <w:b/>
          <w:lang w:val="id-ID"/>
        </w:rPr>
      </w:pPr>
      <w:r w:rsidRPr="00040355">
        <w:rPr>
          <w:lang w:val="id-ID"/>
        </w:rPr>
        <w:t>e-mail:</w:t>
      </w:r>
      <w:r w:rsidR="008E151E">
        <w:t>yun14n4@gmail.com</w:t>
      </w:r>
    </w:p>
    <w:p w14:paraId="03671E15" w14:textId="3CA76230" w:rsidR="00040355" w:rsidRPr="00040355" w:rsidRDefault="00040355" w:rsidP="00D642E5">
      <w:pPr>
        <w:jc w:val="center"/>
        <w:rPr>
          <w:sz w:val="22"/>
          <w:szCs w:val="22"/>
          <w:lang w:val="id-ID"/>
        </w:rPr>
      </w:pPr>
    </w:p>
    <w:p w14:paraId="25F9CC38" w14:textId="77777777" w:rsidR="00904D6D" w:rsidRPr="00A648CF" w:rsidRDefault="00904D6D" w:rsidP="00D642E5">
      <w:pPr>
        <w:jc w:val="center"/>
        <w:rPr>
          <w:sz w:val="22"/>
          <w:szCs w:val="22"/>
          <w:lang w:val="id-ID"/>
        </w:rPr>
      </w:pPr>
    </w:p>
    <w:p w14:paraId="3CB2FCEA" w14:textId="77777777" w:rsidR="00040355" w:rsidRPr="00A648CF" w:rsidRDefault="00040355" w:rsidP="00040355">
      <w:pPr>
        <w:rPr>
          <w:b/>
          <w:sz w:val="22"/>
          <w:szCs w:val="22"/>
        </w:rPr>
      </w:pPr>
      <w:r w:rsidRPr="00A648CF">
        <w:rPr>
          <w:b/>
          <w:bCs/>
          <w:i/>
          <w:iCs/>
          <w:sz w:val="22"/>
          <w:szCs w:val="22"/>
        </w:rPr>
        <w:t>Abstract</w:t>
      </w:r>
    </w:p>
    <w:p w14:paraId="399D652A" w14:textId="2C52FB1A" w:rsidR="00040355" w:rsidRPr="00DA4634" w:rsidRDefault="008E151E" w:rsidP="008E15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iCs/>
          <w:sz w:val="22"/>
          <w:szCs w:val="22"/>
        </w:rPr>
      </w:pPr>
      <w:r w:rsidRPr="008E151E">
        <w:rPr>
          <w:rFonts w:ascii="Times New Roman" w:hAnsi="Times New Roman" w:cs="Times New Roman"/>
          <w:i/>
          <w:iCs/>
          <w:sz w:val="22"/>
          <w:szCs w:val="22"/>
          <w:lang w:val="en"/>
        </w:rPr>
        <w:t xml:space="preserve">The COVID-19 pandemic has had a significant impact on the education sector, forcing educational institutions to adapt distance learning models. Along with these changes, the need for efficient information systems to monitor and improve the learning process becomes increasingly urgent. This research aims to develop an information system blueprint that can provide a structured solution for monitoring the learning process after the COVID-19 pandemic. This blueprint is designed to provide a comprehensive overview of the key elements required in information systems development. The choice of research methodology focuses on analyzing the needs of stakeholders, including lecturers, students and academic administration, to ensure that this system can meet the expectations and needs of all relevant parties. Emphasis is also placed on the integration of the latest technology and the use of easily accessible digital platforms. In developing this blueprint, various aspects are explained, including the system architecture, modules to be implemented, and performance measurement methods. This system is designed to support collecting learning data, tracking student participation, and providing performance analysis that can be used as a basis for decision making to improve learning effectiveness. Through this approach, it is hoped that the development of a blueprint for an </w:t>
      </w:r>
      <w:bookmarkStart w:id="0" w:name="_Hlk155264184"/>
      <w:r w:rsidRPr="008E151E">
        <w:rPr>
          <w:rFonts w:ascii="Times New Roman" w:hAnsi="Times New Roman" w:cs="Times New Roman"/>
          <w:i/>
          <w:iCs/>
          <w:sz w:val="22"/>
          <w:szCs w:val="22"/>
          <w:lang w:val="en"/>
        </w:rPr>
        <w:t xml:space="preserve">information system </w:t>
      </w:r>
      <w:bookmarkEnd w:id="0"/>
      <w:r w:rsidRPr="008E151E">
        <w:rPr>
          <w:rFonts w:ascii="Times New Roman" w:hAnsi="Times New Roman" w:cs="Times New Roman"/>
          <w:i/>
          <w:iCs/>
          <w:sz w:val="22"/>
          <w:szCs w:val="22"/>
          <w:lang w:val="en"/>
        </w:rPr>
        <w:t>for monitoring the learning process after the COVID-19 pandemic can make a positive contribution to the learning experience, support the flexibility of learning models, and improve the overall quality of education. . The implementation of this blueprint is expected to provide a strong foundation for further information system development and support rapid adaptation to changing learning conditions in the future.</w:t>
      </w:r>
    </w:p>
    <w:p w14:paraId="663ED306" w14:textId="77777777" w:rsidR="00040355" w:rsidRPr="00A648CF" w:rsidRDefault="00040355" w:rsidP="00040355">
      <w:pPr>
        <w:rPr>
          <w:i/>
          <w:sz w:val="22"/>
          <w:szCs w:val="22"/>
        </w:rPr>
      </w:pPr>
    </w:p>
    <w:p w14:paraId="1332740F" w14:textId="52EC2386" w:rsidR="00040355" w:rsidRPr="008E151E" w:rsidRDefault="00040355" w:rsidP="00040355">
      <w:pPr>
        <w:rPr>
          <w:i/>
          <w:sz w:val="22"/>
          <w:szCs w:val="22"/>
        </w:rPr>
      </w:pPr>
      <w:r>
        <w:rPr>
          <w:b/>
          <w:i/>
          <w:iCs/>
          <w:sz w:val="22"/>
          <w:szCs w:val="22"/>
        </w:rPr>
        <w:t>Keywords</w:t>
      </w:r>
      <w:r>
        <w:rPr>
          <w:i/>
          <w:sz w:val="22"/>
          <w:szCs w:val="22"/>
          <w:lang w:val="id-ID"/>
        </w:rPr>
        <w:t xml:space="preserve">: </w:t>
      </w:r>
      <w:r w:rsidR="008E151E">
        <w:rPr>
          <w:i/>
          <w:sz w:val="22"/>
          <w:szCs w:val="22"/>
        </w:rPr>
        <w:t xml:space="preserve">Blueprint, Covid-19 Pandemic, </w:t>
      </w:r>
      <w:r w:rsidR="008E151E" w:rsidRPr="008E151E">
        <w:rPr>
          <w:i/>
          <w:sz w:val="22"/>
          <w:szCs w:val="22"/>
        </w:rPr>
        <w:t>Learning Effectiveness</w:t>
      </w:r>
      <w:r w:rsidR="008E151E">
        <w:rPr>
          <w:i/>
          <w:sz w:val="22"/>
          <w:szCs w:val="22"/>
        </w:rPr>
        <w:t xml:space="preserve">, </w:t>
      </w:r>
      <w:r w:rsidR="008E151E" w:rsidRPr="008E151E">
        <w:rPr>
          <w:i/>
          <w:sz w:val="22"/>
          <w:szCs w:val="22"/>
        </w:rPr>
        <w:t>Information System</w:t>
      </w:r>
    </w:p>
    <w:p w14:paraId="119B25FD" w14:textId="77777777" w:rsidR="00040355" w:rsidRPr="00A65646" w:rsidRDefault="00040355" w:rsidP="00D642E5">
      <w:pPr>
        <w:rPr>
          <w:i/>
          <w:sz w:val="22"/>
          <w:szCs w:val="22"/>
        </w:rPr>
      </w:pPr>
    </w:p>
    <w:p w14:paraId="080D19C7" w14:textId="77777777" w:rsidR="00595CB2" w:rsidRPr="00A648CF" w:rsidRDefault="00595CB2" w:rsidP="00D642E5">
      <w:pPr>
        <w:jc w:val="center"/>
        <w:rPr>
          <w:sz w:val="22"/>
          <w:szCs w:val="22"/>
          <w:lang w:val="id-ID"/>
        </w:rPr>
      </w:pPr>
    </w:p>
    <w:p w14:paraId="79A2A9FA" w14:textId="77777777" w:rsidR="00B46098" w:rsidRDefault="00B46098" w:rsidP="00D642E5">
      <w:pPr>
        <w:jc w:val="center"/>
        <w:rPr>
          <w:bCs/>
          <w:sz w:val="22"/>
          <w:szCs w:val="22"/>
        </w:rPr>
        <w:sectPr w:rsidR="00B46098" w:rsidSect="001E5F4E">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701" w:header="720" w:footer="720" w:gutter="0"/>
          <w:pgNumType w:start="76"/>
          <w:cols w:space="720"/>
          <w:docGrid w:linePitch="360"/>
        </w:sectPr>
      </w:pPr>
    </w:p>
    <w:p w14:paraId="705FCEFC" w14:textId="77777777" w:rsidR="00904D6D" w:rsidRPr="00BA6285" w:rsidRDefault="00C44EA0" w:rsidP="00040355">
      <w:pPr>
        <w:rPr>
          <w:b/>
          <w:bCs/>
          <w:sz w:val="22"/>
          <w:szCs w:val="22"/>
        </w:rPr>
      </w:pPr>
      <w:r w:rsidRPr="00BA6285">
        <w:rPr>
          <w:b/>
          <w:bCs/>
          <w:sz w:val="22"/>
          <w:szCs w:val="22"/>
        </w:rPr>
        <w:t>INTRODUCTION</w:t>
      </w:r>
    </w:p>
    <w:p w14:paraId="2929A28F" w14:textId="4950E5C6" w:rsidR="00040355" w:rsidRPr="00007F38" w:rsidRDefault="00040355" w:rsidP="00234CC4">
      <w:pPr>
        <w:autoSpaceDE w:val="0"/>
        <w:autoSpaceDN w:val="0"/>
        <w:adjustRightInd w:val="0"/>
        <w:jc w:val="both"/>
        <w:rPr>
          <w:color w:val="FF0000"/>
          <w:sz w:val="22"/>
          <w:szCs w:val="22"/>
          <w:lang w:val="id-ID"/>
        </w:rPr>
      </w:pPr>
    </w:p>
    <w:p w14:paraId="048FA182" w14:textId="699A4E58" w:rsidR="00007F38" w:rsidRPr="00615BEE" w:rsidRDefault="00BF5E74" w:rsidP="00007F38">
      <w:pPr>
        <w:autoSpaceDE w:val="0"/>
        <w:autoSpaceDN w:val="0"/>
        <w:adjustRightInd w:val="0"/>
        <w:ind w:firstLine="567"/>
        <w:jc w:val="both"/>
        <w:rPr>
          <w:sz w:val="22"/>
          <w:szCs w:val="22"/>
        </w:rPr>
      </w:pPr>
      <w:r w:rsidRPr="00BF5E74">
        <w:rPr>
          <w:sz w:val="22"/>
          <w:szCs w:val="22"/>
          <w:lang w:val="id-ID"/>
        </w:rPr>
        <w:t>The COVID-19 pandemic has been a significant turning point in the history of education, forcing educational institutions around the world to face major challenges in maintaining the continuity of learning. The impact of this pandemic is not only limited to public health aspects, but also changes the learning paradigm by encouraging the implementation of distance learning models. Even though online learning is a temporary solution, the challenges faced by educational institutions in managing and monitoring the learning process remain high</w:t>
      </w:r>
      <w:r>
        <w:rPr>
          <w:sz w:val="22"/>
          <w:szCs w:val="22"/>
        </w:rPr>
        <w:t xml:space="preserve"> </w:t>
      </w:r>
      <w:r>
        <w:rPr>
          <w:sz w:val="22"/>
          <w:szCs w:val="22"/>
        </w:rPr>
        <w:fldChar w:fldCharType="begin" w:fldLock="1"/>
      </w:r>
      <w:r w:rsidR="00226631">
        <w:rPr>
          <w:sz w:val="22"/>
          <w:szCs w:val="22"/>
        </w:rPr>
        <w:instrText>ADDIN CSL_CITATION {"citationItems":[{"id":"ITEM-1","itemData":{"author":[{"dropping-particle":"","family":"Cahyaningrum","given":"Yuniana","non-dropping-particle":"","parse-names":false,"suffix":""}],"container-title":"Amplifier","id":"ITEM-1","issue":"2","issued":{"date-parts":[["2023"]]},"page":"62-68","title":"Penerapan Artificial Intelligence Dalam Dunia Pendidikan","type":"article-journal","volume":"13"},"uris":["http://www.mendeley.com/documents/?uuid=d8df6098-acb8-4e35-b28b-b6f28942b9aa"]}],"mendeley":{"formattedCitation":"(Cahyaningrum, 2023b)","plainTextFormattedCitation":"(Cahyaningrum, 2023b)","previouslyFormattedCitation":"(Cahyaningrum, 2023b)"},"properties":{"noteIndex":0},"schema":"https://github.com/citation-style-language/schema/raw/master/csl-citation.json"}</w:instrText>
      </w:r>
      <w:r>
        <w:rPr>
          <w:sz w:val="22"/>
          <w:szCs w:val="22"/>
        </w:rPr>
        <w:fldChar w:fldCharType="separate"/>
      </w:r>
      <w:r w:rsidR="005608DC" w:rsidRPr="005608DC">
        <w:rPr>
          <w:noProof/>
          <w:sz w:val="22"/>
          <w:szCs w:val="22"/>
        </w:rPr>
        <w:t>(Cahyaningrum, 2023b)</w:t>
      </w:r>
      <w:r>
        <w:rPr>
          <w:sz w:val="22"/>
          <w:szCs w:val="22"/>
        </w:rPr>
        <w:fldChar w:fldCharType="end"/>
      </w:r>
      <w:r w:rsidRPr="00BF5E74">
        <w:rPr>
          <w:sz w:val="22"/>
          <w:szCs w:val="22"/>
          <w:lang w:val="id-ID"/>
        </w:rPr>
        <w:t>.</w:t>
      </w:r>
      <w:r w:rsidR="00615BEE">
        <w:rPr>
          <w:sz w:val="22"/>
          <w:szCs w:val="22"/>
        </w:rPr>
        <w:t xml:space="preserve"> </w:t>
      </w:r>
      <w:r w:rsidR="00615BEE" w:rsidRPr="00615BEE">
        <w:rPr>
          <w:sz w:val="22"/>
          <w:szCs w:val="22"/>
        </w:rPr>
        <w:t>Effective multidisciplinary collaboration models leverage learning during the early phases of the pandemic to overcome the unique logistical challenges posed by pandemic conditions. Collaboration between physicians and researchers across disciplines will provide insight into survival that can determine the treatment of acute illnesses and chronic complications</w:t>
      </w:r>
      <w:r>
        <w:rPr>
          <w:sz w:val="22"/>
          <w:szCs w:val="22"/>
        </w:rPr>
        <w:t xml:space="preserve"> </w:t>
      </w:r>
      <w:r>
        <w:rPr>
          <w:sz w:val="22"/>
          <w:szCs w:val="22"/>
        </w:rPr>
        <w:fldChar w:fldCharType="begin" w:fldLock="1"/>
      </w:r>
      <w:r>
        <w:rPr>
          <w:sz w:val="22"/>
          <w:szCs w:val="22"/>
        </w:rPr>
        <w:instrText>ADDIN CSL_CITATION {"citationItems":[{"id":"ITEM-1","itemData":{"DOI":"10.1016/j.chest.2020.10.067","ISSN":"19313543","PMID":"33159907","abstract":"The severe acute respiratory syndrome coronavirus 2 pandemic poses extraordinary challenges. The tremendous number of coronavirus disease 2019 (COVID-19) cases in the United States has resulted in a large population of survivors with prolonged postinfection symptoms. The creation of multidisciplinary post-COVID-19 clinics to address both persistent symptoms and potential long-term complications requires an understanding of the acute disease and the emerging data regarding COVID-19 outcomes. Experience with severe acute respiratory syndrome and Middle East respiratory syndrome, post-acute respiratory distress syndrome complications, and post-intensive care syndrome also informs anticipated sequelae and clinical program design. Post-COVID-19 clinical programs should be prepared to care for individuals previously hospitalized with COVID-19 (including those who required critical care support), nonhospitalized individuals with persistent respiratory symptoms following COVID-19, and individuals with preexisting lung disease complicated by COVID-19. Effective multidisciplinary collaboration models leverage lessons learned during the early phases of the pandemic to overcome the unique logistical challenges posed by pandemic circumstances. Collaboration between physicians and researchers across disciplines will provide insight into survivorship that may shape the treatment of both acute disease and chronic complications. In this review, we discuss the aims, general principles, elements of design, and challenges of a successful multidisciplinary model to address the needs of COVID-19 survivors.","author":[{"dropping-particle":"","family":"Lutchmansingh","given":"Denyse D.","non-dropping-particle":"","parse-names":false,"suffix":""},{"dropping-particle":"","family":"Knauert","given":"Melissa P.","non-dropping-particle":"","parse-names":false,"suffix":""},{"dropping-particle":"","family":"Antin-Ozerkis","given":"Danielle E.","non-dropping-particle":"","parse-names":false,"suffix":""},{"dropping-particle":"","family":"Chupp","given":"Geoffrey","non-dropping-particle":"","parse-names":false,"suffix":""},{"dropping-particle":"","family":"Cohn","given":"Lauren","non-dropping-particle":"","parse-names":false,"suffix":""},{"dropping-particle":"","family":"Cruz","given":"Charles S.","non-dropping-particle":"Dela","parse-names":false,"suffix":""},{"dropping-particle":"","family":"Ferrante","given":"Lauren E.","non-dropping-particle":"","parse-names":false,"suffix":""},{"dropping-particle":"","family":"Herzog","given":"Erica L.","non-dropping-particle":"","parse-names":false,"suffix":""},{"dropping-particle":"","family":"Koff","given":"Jonathan","non-dropping-particle":"","parse-names":false,"suffix":""},{"dropping-particle":"","family":"Rochester","given":"Carolyn L.","non-dropping-particle":"","parse-names":false,"suffix":""},{"dropping-particle":"","family":"Ryu","given":"Changwan","non-dropping-particle":"","parse-names":false,"suffix":""},{"dropping-particle":"","family":"Singh","given":"Inderjit","non-dropping-particle":"","parse-names":false,"suffix":""},{"dropping-particle":"","family":"Tickoo","given":"Mayanka","non-dropping-particle":"","parse-names":false,"suffix":""},{"dropping-particle":"","family":"Winks","given":"Vikki","non-dropping-particle":"","parse-names":false,"suffix":""},{"dropping-particle":"","family":"Gulati","given":"Mridu","non-dropping-particle":"","parse-names":false,"suffix":""},{"dropping-particle":"","family":"Possick","given":"Jennifer D.","non-dropping-particle":"","parse-names":false,"suffix":""}],"container-title":"Chest","id":"ITEM-1","issue":"3","issued":{"date-parts":[["2021"]]},"page":"949-958","publisher":"Elsevier Inc","title":"A Clinic Blueprint for Post-Coronavirus Disease 2019 RECOVERY: Learning From the Past, Looking to the Future","type":"article-journal","volume":"159"},"uris":["http://www.mendeley.com/documents/?uuid=47a53d9e-2308-4fe8-9815-8c0b60628ef9"]}],"mendeley":{"formattedCitation":"(Lutchmansingh et al., 2021)","plainTextFormattedCitation":"(Lutchmansingh et al., 2021)","previouslyFormattedCitation":"(Lutchmansingh et al., 2021)"},"properties":{"noteIndex":0},"schema":"https://github.com/citation-style-language/schema/raw/master/csl-citation.json"}</w:instrText>
      </w:r>
      <w:r>
        <w:rPr>
          <w:sz w:val="22"/>
          <w:szCs w:val="22"/>
        </w:rPr>
        <w:fldChar w:fldCharType="separate"/>
      </w:r>
      <w:r w:rsidRPr="00BF5E74">
        <w:rPr>
          <w:noProof/>
          <w:sz w:val="22"/>
          <w:szCs w:val="22"/>
        </w:rPr>
        <w:t>(Lutchmansingh et al., 2021)</w:t>
      </w:r>
      <w:r>
        <w:rPr>
          <w:sz w:val="22"/>
          <w:szCs w:val="22"/>
        </w:rPr>
        <w:fldChar w:fldCharType="end"/>
      </w:r>
      <w:r w:rsidR="00615BEE" w:rsidRPr="00615BEE">
        <w:rPr>
          <w:sz w:val="22"/>
          <w:szCs w:val="22"/>
        </w:rPr>
        <w:t>.</w:t>
      </w:r>
    </w:p>
    <w:p w14:paraId="1533B06D" w14:textId="40C54FE8" w:rsidR="00007F38" w:rsidRPr="00BF5E74" w:rsidRDefault="006C6374" w:rsidP="00007F38">
      <w:pPr>
        <w:autoSpaceDE w:val="0"/>
        <w:autoSpaceDN w:val="0"/>
        <w:adjustRightInd w:val="0"/>
        <w:ind w:firstLine="567"/>
        <w:jc w:val="both"/>
        <w:rPr>
          <w:sz w:val="22"/>
          <w:szCs w:val="22"/>
        </w:rPr>
      </w:pPr>
      <w:r w:rsidRPr="006C6374">
        <w:rPr>
          <w:sz w:val="22"/>
          <w:szCs w:val="22"/>
        </w:rPr>
        <w:t xml:space="preserve">Given that COVID-19 shut down several key services such as aviation, food services, supply chains, and export and import markets, there is a major lack of critical information to inform </w:t>
      </w:r>
      <w:r w:rsidRPr="006C6374">
        <w:rPr>
          <w:sz w:val="22"/>
          <w:szCs w:val="22"/>
        </w:rPr>
        <w:lastRenderedPageBreak/>
        <w:t>prioritization for companies as this uncertainty will likely negatively impact the recovery. Internet and Communications technologies, blockchain in the food supply chain and other applications of Industry 4.0, as well as approaches that redefine the way we consume food are the innovations with the highest potential in the new era</w:t>
      </w:r>
      <w:r>
        <w:rPr>
          <w:sz w:val="22"/>
          <w:szCs w:val="22"/>
        </w:rPr>
        <w:t xml:space="preserve"> </w:t>
      </w:r>
      <w:r>
        <w:rPr>
          <w:sz w:val="22"/>
          <w:szCs w:val="22"/>
        </w:rPr>
        <w:fldChar w:fldCharType="begin" w:fldLock="1"/>
      </w:r>
      <w:r w:rsidR="00E224D8">
        <w:rPr>
          <w:sz w:val="22"/>
          <w:szCs w:val="22"/>
        </w:rPr>
        <w:instrText>ADDIN CSL_CITATION {"citationItems":[{"id":"ITEM-1","itemData":{"DOI":"10.1016/j.tifs.2021.02.002","ISSN":"09242244","abstract":"Background: COVID-19 pandemic has caused a global lockdown that has abruptly shut down core businesses and caused a worldwide recession. The forecast for a smooth transition for the agri-food and drink industry is, at best, alarming. Given that COVID-19 shutdown multiple core services (such as aviation, food services, supply chains, and export and import markets), there is an enormous deficiency in critical information to inform priority decision making for companies where this uncertainly is likely to impact negatively upon recovery. Scope and approach: The current article investigates potential innovations within the era of the COVID-19 crisis after framing them within the four issues of the food sector (food safety, bioactive food compounds, food security, and sustainability) that are directly affected by the pandemic. The prospect of foreseen innovations to disrupt the food sector during lockdown periods and the post-COVID-19 era is also discussed. Key findings and conclusions: Internet and Communication Technologies, blockchain in the food supply chain and other Industry 4.0 applications, as well as approaches that redefine the way we consume food (e.g., lab-grown meat, plant-based alternatives of meat, and valorization of a vast range of bioresources), are the innovations with the highest potential in the new era. There is also an equally pressing need to exploit social marketing to understand attitudes, perceptions, and barriers that influence the behavior change of consumers and the agri-food industry. Subsequently, this change will contribute to adapting to new norms forged by the COVID-19 pandemic, where there is a significant gap in knowledge for decision making.","author":[{"dropping-particle":"","family":"Galanakis","given":"Charis M.","non-dropping-particle":"","parse-names":false,"suffix":""},{"dropping-particle":"","family":"Rizou","given":"Myrto","non-dropping-particle":"","parse-names":false,"suffix":""},{"dropping-particle":"","family":"Aldawoud","given":"Turki M.S.","non-dropping-particle":"","parse-names":false,"suffix":""},{"dropping-particle":"","family":"Ucak","given":"Ilknur","non-dropping-particle":"","parse-names":false,"suffix":""},{"dropping-particle":"","family":"Rowan","given":"Neil J.","non-dropping-particle":"","parse-names":false,"suffix":""}],"container-title":"Trends in Food Science and Technology","id":"ITEM-1","issue":"January","issued":{"date-parts":[["2021"]]},"page":"193-200","publisher":"Elsevier Ltd","title":"Innovations and technology disruptions in the food sector within the COVID-19 pandemic and post-lockdown era","type":"article-journal","volume":"110"},"uris":["http://www.mendeley.com/documents/?uuid=e014afea-cfbc-4968-89b2-df211639aea8"]}],"mendeley":{"formattedCitation":"(Galanakis et al., 2021)","plainTextFormattedCitation":"(Galanakis et al., 2021)","previouslyFormattedCitation":"(Galanakis et al., 2021)"},"properties":{"noteIndex":0},"schema":"https://github.com/citation-style-language/schema/raw/master/csl-citation.json"}</w:instrText>
      </w:r>
      <w:r>
        <w:rPr>
          <w:sz w:val="22"/>
          <w:szCs w:val="22"/>
        </w:rPr>
        <w:fldChar w:fldCharType="separate"/>
      </w:r>
      <w:r w:rsidRPr="006C6374">
        <w:rPr>
          <w:noProof/>
          <w:sz w:val="22"/>
          <w:szCs w:val="22"/>
        </w:rPr>
        <w:t>(Galanakis et al., 2021)</w:t>
      </w:r>
      <w:r>
        <w:rPr>
          <w:sz w:val="22"/>
          <w:szCs w:val="22"/>
        </w:rPr>
        <w:fldChar w:fldCharType="end"/>
      </w:r>
      <w:r>
        <w:rPr>
          <w:sz w:val="22"/>
          <w:szCs w:val="22"/>
        </w:rPr>
        <w:t xml:space="preserve">. </w:t>
      </w:r>
      <w:r w:rsidR="00BF5E74" w:rsidRPr="00BF5E74">
        <w:rPr>
          <w:sz w:val="22"/>
          <w:szCs w:val="22"/>
          <w:lang w:val="id-ID"/>
        </w:rPr>
        <w:t>In this case, developing an information system blueprint is an urgent need to optimize and monitor the learning process after the COVID-19 pandemic. This Blueprint aims to provide a holistic and structured view of the basic framework required to achieve this goal. By understanding the changing educational landscape and the development of stakeholder needs, it is hoped that the development of this information system can provide efficient and effective solutions</w:t>
      </w:r>
      <w:r w:rsidR="00BF5E74">
        <w:rPr>
          <w:sz w:val="22"/>
          <w:szCs w:val="22"/>
        </w:rPr>
        <w:t xml:space="preserve"> </w:t>
      </w:r>
      <w:r w:rsidR="00BF5E74">
        <w:rPr>
          <w:sz w:val="22"/>
          <w:szCs w:val="22"/>
        </w:rPr>
        <w:fldChar w:fldCharType="begin" w:fldLock="1"/>
      </w:r>
      <w:r>
        <w:rPr>
          <w:sz w:val="22"/>
          <w:szCs w:val="22"/>
        </w:rPr>
        <w:instrText>ADDIN CSL_CITATION {"citationItems":[{"id":"ITEM-1","itemData":{"DOI":"10.1051/e3sconf/202131705021","abstract":"The quality of education is essential so that it needs to be improved. This study aims to design and realize an information system for monitoring and evaluating the quality of the online teaching and learning process using the fuzzy-expert system algorithm. By using the fuzzy-expert system model, the Tsukamoto method can monitor the online teaching and learning process. The tsukamoto method is used because it is very flexible. Fuzzy-expert system can process a lot of data and get better results than using the excel application. The assessment parameters in this study were the presence of lecturers and students, the suitability of the lecture material, the development of an academic atmosphere, the assessment of student skills, the suitability of learning support facilities and infrastructure, the performance of education personnel in the learning process, assessment of student attitudes, student knowledge, lecturers’ role models, and lecturer performance in teaching. The fuzzy stages used in the system are the process of fuzzification, rules, and defuzzification. This study concludes that fuzzy assessment can be carried out by producing good evaluations for the value range of 80-100, enough for the range of values of 54-79, and less in the range of values 0-55.","author":[{"dropping-particle":"","family":"Cahyaningrum","given":"Yuniana","non-dropping-particle":"","parse-names":false,"suffix":""},{"dropping-particle":"","family":"Suryono","given":"Suryono","non-dropping-particle":"","parse-names":false,"suffix":""},{"dropping-particle":"","family":"Warsito","given":"Budi","non-dropping-particle":"","parse-names":false,"suffix":""}],"container-title":"E3S Web of Conferences","id":"ITEM-1","issued":{"date-parts":[["2021"]]},"page":"05021","title":"Fuzzy-Expert System for Indicator and Quality Evaluation of Teaching and Learning Processes Online Study Programs","type":"article-journal","volume":"317"},"uris":["http://www.mendeley.com/documents/?uuid=eb7d8798-a27e-424f-a3a7-679c6ff95a8f"]}],"mendeley":{"formattedCitation":"(Cahyaningrum et al., 2021)","plainTextFormattedCitation":"(Cahyaningrum et al., 2021)","previouslyFormattedCitation":"(Cahyaningrum et al., 2021)"},"properties":{"noteIndex":0},"schema":"https://github.com/citation-style-language/schema/raw/master/csl-citation.json"}</w:instrText>
      </w:r>
      <w:r w:rsidR="00BF5E74">
        <w:rPr>
          <w:sz w:val="22"/>
          <w:szCs w:val="22"/>
        </w:rPr>
        <w:fldChar w:fldCharType="separate"/>
      </w:r>
      <w:r w:rsidR="00BF5E74" w:rsidRPr="00BF5E74">
        <w:rPr>
          <w:noProof/>
          <w:sz w:val="22"/>
          <w:szCs w:val="22"/>
        </w:rPr>
        <w:t>(Cahyaningrum et al., 2021)</w:t>
      </w:r>
      <w:r w:rsidR="00BF5E74">
        <w:rPr>
          <w:sz w:val="22"/>
          <w:szCs w:val="22"/>
        </w:rPr>
        <w:fldChar w:fldCharType="end"/>
      </w:r>
      <w:r w:rsidR="00BF5E74" w:rsidRPr="00BF5E74">
        <w:rPr>
          <w:sz w:val="22"/>
          <w:szCs w:val="22"/>
          <w:lang w:val="id-ID"/>
        </w:rPr>
        <w:t>.</w:t>
      </w:r>
      <w:r w:rsidR="00BF5E74">
        <w:rPr>
          <w:sz w:val="22"/>
          <w:szCs w:val="22"/>
        </w:rPr>
        <w:t xml:space="preserve"> </w:t>
      </w:r>
    </w:p>
    <w:p w14:paraId="7B0401E9" w14:textId="00606553" w:rsidR="00007F38" w:rsidRPr="00007F38" w:rsidRDefault="00E224D8" w:rsidP="00007F38">
      <w:pPr>
        <w:autoSpaceDE w:val="0"/>
        <w:autoSpaceDN w:val="0"/>
        <w:adjustRightInd w:val="0"/>
        <w:ind w:firstLine="567"/>
        <w:jc w:val="both"/>
        <w:rPr>
          <w:sz w:val="22"/>
          <w:szCs w:val="22"/>
          <w:lang w:val="id-ID"/>
        </w:rPr>
      </w:pPr>
      <w:r w:rsidRPr="00E224D8">
        <w:rPr>
          <w:sz w:val="22"/>
          <w:szCs w:val="22"/>
          <w:lang w:val="id-ID"/>
        </w:rPr>
        <w:t>New security and prevention policies resulting from COVID-19 have prompted us to reconfigure the use of certain technologies for specific purposes related to preventing the spread of this disease. In facilities management, intelligent monitoring technology integrated with building management infrastructure focuses on creating safer indoor spaces in the face of pandemic risks. The technology also shows great potential in providing new dynamics and services to increase efficiency and sustainability in facilities management</w:t>
      </w:r>
      <w:r>
        <w:rPr>
          <w:sz w:val="22"/>
          <w:szCs w:val="22"/>
        </w:rPr>
        <w:t xml:space="preserve"> </w:t>
      </w:r>
      <w:r>
        <w:rPr>
          <w:sz w:val="22"/>
          <w:szCs w:val="22"/>
        </w:rPr>
        <w:fldChar w:fldCharType="begin" w:fldLock="1"/>
      </w:r>
      <w:r>
        <w:rPr>
          <w:sz w:val="22"/>
          <w:szCs w:val="22"/>
        </w:rPr>
        <w:instrText>ADDIN CSL_CITATION {"citationItems":[{"id":"ITEM-1","itemData":{"DOI":"10.1016/j.heliyon.2023.e14640","ISSN":"24058440","abstract":"The COVID-19 pandemic has generated new needs due to the associated health risks and, more specifically, its rapid infection rate. Prevention measures to avoid contagions in indoor spaces, especially in office and public buildings (e.g., hospitals, public administration, educational centres, etc.), have led to the need for adequate ventilation to dilute the possible concentration of the virus. This article presents our contribution to this new challenge, namely the Ventilation Early Warning System (VEWS) which has aims to adapt the operation of the current Heating, Ventilating and Air Conditioning (HVAC) systems to the ventilation needs of diaphanous workspaces, based on a Smart Campus Digital Twin (SCDT) framework approach, while maintaining sustainability. Different technologies such as the Internet of Things (IoT), Building Information Modelling (BIM) and Artificial Intelligence (AI) algorithms are combined to collect and integrate monitoring data (historical records, real-time information, and location-related patterns) to carry out forecasting simulations in this digital twin. The generated outputs serve to assist facility managers in their building governance, considering the appropriate application of health measures to reduce the risk of coronavirus contagion in combination with sustainability criteria. The article also provides the results of the implementation of the VEWS in a university workspace as a case study. Its application has made it possible to detect and warn of inadequate ventilation situations for the daily flow of people in the different controlled zones.","author":[{"dropping-particle":"","family":"Costa","given":"Gonçal","non-dropping-particle":"","parse-names":false,"suffix":""},{"dropping-particle":"","family":"Arroyo","given":"Oriol","non-dropping-particle":"","parse-names":false,"suffix":""},{"dropping-particle":"","family":"Rueda","given":"Pablo","non-dropping-particle":"","parse-names":false,"suffix":""},{"dropping-particle":"","family":"Briones","given":"Alan","non-dropping-particle":"","parse-names":false,"suffix":""}],"container-title":"Heliyon","id":"ITEM-1","issue":"3","issued":{"date-parts":[["2023"]]},"page":"e14640","publisher":"Elsevier Ltd","title":"A ventilation early warning system (VEWS) for diaphanous workspaces considering COVID-19 and future pandemics scenarios","type":"article-journal","volume":"9"},"uris":["http://www.mendeley.com/documents/?uuid=6c394629-6675-4e9e-a76c-eee6b069be75"]}],"mendeley":{"formattedCitation":"(Costa et al., 2023)","plainTextFormattedCitation":"(Costa et al., 2023)","previouslyFormattedCitation":"(Costa et al., 2023)"},"properties":{"noteIndex":0},"schema":"https://github.com/citation-style-language/schema/raw/master/csl-citation.json"}</w:instrText>
      </w:r>
      <w:r>
        <w:rPr>
          <w:sz w:val="22"/>
          <w:szCs w:val="22"/>
        </w:rPr>
        <w:fldChar w:fldCharType="separate"/>
      </w:r>
      <w:r w:rsidRPr="00E224D8">
        <w:rPr>
          <w:noProof/>
          <w:sz w:val="22"/>
          <w:szCs w:val="22"/>
        </w:rPr>
        <w:t>(Costa et al., 2023)</w:t>
      </w:r>
      <w:r>
        <w:rPr>
          <w:sz w:val="22"/>
          <w:szCs w:val="22"/>
        </w:rPr>
        <w:fldChar w:fldCharType="end"/>
      </w:r>
      <w:r>
        <w:rPr>
          <w:sz w:val="22"/>
          <w:szCs w:val="22"/>
        </w:rPr>
        <w:t xml:space="preserve">. </w:t>
      </w:r>
      <w:r w:rsidRPr="00E224D8">
        <w:rPr>
          <w:sz w:val="22"/>
          <w:szCs w:val="22"/>
          <w:lang w:val="id-ID"/>
        </w:rPr>
        <w:t>Changes in learning policies, interaction patterns between lecturers and students, as well as adjustments to technological developments are the main focus in developing this blueprint. The advantages of the proposed information system are its ability to provide solutions based on the latest technology, increase transparency, and provide relevant data to support better decision making</w:t>
      </w:r>
      <w:r>
        <w:rPr>
          <w:sz w:val="22"/>
          <w:szCs w:val="22"/>
        </w:rPr>
        <w:t xml:space="preserve"> </w:t>
      </w:r>
      <w:r>
        <w:rPr>
          <w:sz w:val="22"/>
          <w:szCs w:val="22"/>
        </w:rPr>
        <w:fldChar w:fldCharType="begin" w:fldLock="1"/>
      </w:r>
      <w:r w:rsidR="00A06053">
        <w:rPr>
          <w:sz w:val="22"/>
          <w:szCs w:val="22"/>
        </w:rPr>
        <w:instrText>ADDIN CSL_CITATION {"citationItems":[{"id":"ITEM-1","itemData":{"author":[{"dropping-particle":"","family":"Yuniana Cahyaningrum","given":"Faidz Rizqi Anshori","non-dropping-particle":"","parse-names":false,"suffix":""}],"id":"ITEM-1","issue":"3","issued":{"date-parts":[["2023"]]},"page":"3-6","title":"SYSTEMATIC LITERATURE REVIEW DALAM BIDANG KECERDASAN BUATAN SYSTEMATIC LITERATURE REVIEW IN THE FIELD OF ARTIFICIAL","type":"article-journal","volume":"2"},"uris":["http://www.mendeley.com/documents/?uuid=3eca151c-0cbd-44f3-a54b-4f4d58236750"]}],"mendeley":{"formattedCitation":"(Yuniana Cahyaningrum, 2023)","manualFormatting":"(Cahyaningrum et al., 2023)","plainTextFormattedCitation":"(Yuniana Cahyaningrum, 2023)","previouslyFormattedCitation":"(Yuniana Cahyaningrum, 2023)"},"properties":{"noteIndex":0},"schema":"https://github.com/citation-style-language/schema/raw/master/csl-citation.json"}</w:instrText>
      </w:r>
      <w:r>
        <w:rPr>
          <w:sz w:val="22"/>
          <w:szCs w:val="22"/>
        </w:rPr>
        <w:fldChar w:fldCharType="separate"/>
      </w:r>
      <w:r w:rsidRPr="00E224D8">
        <w:rPr>
          <w:noProof/>
          <w:sz w:val="22"/>
          <w:szCs w:val="22"/>
        </w:rPr>
        <w:t>(Cahyaningrum</w:t>
      </w:r>
      <w:r>
        <w:rPr>
          <w:noProof/>
          <w:sz w:val="22"/>
          <w:szCs w:val="22"/>
        </w:rPr>
        <w:t xml:space="preserve"> et al.</w:t>
      </w:r>
      <w:r w:rsidRPr="00E224D8">
        <w:rPr>
          <w:noProof/>
          <w:sz w:val="22"/>
          <w:szCs w:val="22"/>
        </w:rPr>
        <w:t>, 2023)</w:t>
      </w:r>
      <w:r>
        <w:rPr>
          <w:sz w:val="22"/>
          <w:szCs w:val="22"/>
        </w:rPr>
        <w:fldChar w:fldCharType="end"/>
      </w:r>
      <w:r w:rsidR="00007F38" w:rsidRPr="00007F38">
        <w:rPr>
          <w:sz w:val="22"/>
          <w:szCs w:val="22"/>
          <w:lang w:val="id-ID"/>
        </w:rPr>
        <w:t>.</w:t>
      </w:r>
    </w:p>
    <w:p w14:paraId="7EC9BEA2" w14:textId="560B550C" w:rsidR="00BB37AB" w:rsidRDefault="00A06053" w:rsidP="00481E6B">
      <w:pPr>
        <w:autoSpaceDE w:val="0"/>
        <w:autoSpaceDN w:val="0"/>
        <w:adjustRightInd w:val="0"/>
        <w:ind w:firstLine="567"/>
        <w:jc w:val="both"/>
        <w:rPr>
          <w:sz w:val="22"/>
          <w:szCs w:val="22"/>
        </w:rPr>
      </w:pPr>
      <w:r w:rsidRPr="00A06053">
        <w:rPr>
          <w:sz w:val="22"/>
          <w:szCs w:val="22"/>
          <w:lang w:val="id-ID"/>
        </w:rPr>
        <w:t>The slow process of adapting to new technology in higher education is due to the expensive procurement of IT infrastructure. Where universities are still low in allocating funds to meet hardware and software resource needs</w:t>
      </w:r>
      <w:r>
        <w:rPr>
          <w:sz w:val="22"/>
          <w:szCs w:val="22"/>
        </w:rPr>
        <w:t xml:space="preserve"> </w:t>
      </w:r>
      <w:r>
        <w:rPr>
          <w:sz w:val="22"/>
          <w:szCs w:val="22"/>
        </w:rPr>
        <w:fldChar w:fldCharType="begin" w:fldLock="1"/>
      </w:r>
      <w:r w:rsidR="003D793A">
        <w:rPr>
          <w:sz w:val="22"/>
          <w:szCs w:val="22"/>
        </w:rPr>
        <w:instrText>ADDIN CSL_CITATION {"citationItems":[{"id":"ITEM-1","itemData":{"DOI":"10.35145/joisie.v4i1.663","ISSN":"2503-5304","abstract":"Perkembangan teknologi informasi yang pesat  tak bisa dielakkan lagi saat ini. Terlebih pemanfaatan teknologi dalam dunia pendidikan. Teknologi cloud computing yang dikenal dengan komputasi awan mampu menjawab masalah dan tantangan yang dihadapi di perguruan tinggi. Apalagi adanya kasus pandemi covid 19 yang sedang melanda dunia menyebabkan system pembelajaran berubah dari konvensional ke pembelajaran secara online. Tujuan penelitian ini adalah bagaimana membangun dan melakukan konfigurasi cloud di sisi server sehingga perguruan tinggi dapat memanfaatkan fasilitas yang diberikan oleh cloud computing. Hasil penelitian adalah pemanfaatan salah satu fasilitas yang ada di cloud computing yang digunakan dalam metode pembelajaran yaitu classroom. Classroom adalah aplikasi dari google yang dapat bermanfaat untuk pembelajaran secara online dan dapat digunakan secara bersama-sama dalam kelompok secara kolaboratif. Jenis penelitian ini adalah pendekatan deskriptif kualitatif dengan menggunakan instrument pengamatan dan wawancara. Hasil analis yang didapatkan aplikasi ini menawarkan kemudahan dalam pemberian materi, pemberian tugas serta ujian online. Sehingga fasilitas yang ada pada aplikasi ini menjadi daya tarik bagi mahasiswa dan dosen. \r  ","author":[{"dropping-particle":"","family":"Susanti","given":"Wilda","non-dropping-particle":"","parse-names":false,"suffix":""},{"dropping-particle":"","family":"Putri","given":"Ramalia Noratama","non-dropping-particle":"","parse-names":false,"suffix":""}],"container-title":"JOISIE (Journal Of Information Systems And Informatics Engineering)","id":"ITEM-1","issue":"1","issued":{"date-parts":[["2020"]]},"page":"56","title":"Penerapan Cloud Computing Sebagai Media Pembelajaran Berbasis Online Masa Pandemi Covid-19","type":"article-journal","volume":"4"},"uris":["http://www.mendeley.com/documents/?uuid=01e75b4b-348f-4f52-8dfa-e3d1cbdb4693"]}],"mendeley":{"formattedCitation":"(Susanti &amp; Putri, 2020)","plainTextFormattedCitation":"(Susanti &amp; Putri, 2020)","previouslyFormattedCitation":"(Susanti &amp; Putri, 2020)"},"properties":{"noteIndex":0},"schema":"https://github.com/citation-style-language/schema/raw/master/csl-citation.json"}</w:instrText>
      </w:r>
      <w:r>
        <w:rPr>
          <w:sz w:val="22"/>
          <w:szCs w:val="22"/>
        </w:rPr>
        <w:fldChar w:fldCharType="separate"/>
      </w:r>
      <w:r w:rsidRPr="00A06053">
        <w:rPr>
          <w:noProof/>
          <w:sz w:val="22"/>
          <w:szCs w:val="22"/>
        </w:rPr>
        <w:t>(Susanti &amp; Putri, 2020)</w:t>
      </w:r>
      <w:r>
        <w:rPr>
          <w:sz w:val="22"/>
          <w:szCs w:val="22"/>
        </w:rPr>
        <w:fldChar w:fldCharType="end"/>
      </w:r>
      <w:r w:rsidRPr="00A06053">
        <w:rPr>
          <w:sz w:val="22"/>
          <w:szCs w:val="22"/>
          <w:lang w:val="id-ID"/>
        </w:rPr>
        <w:t>.</w:t>
      </w:r>
      <w:r>
        <w:rPr>
          <w:sz w:val="22"/>
          <w:szCs w:val="22"/>
        </w:rPr>
        <w:t xml:space="preserve"> </w:t>
      </w:r>
      <w:r w:rsidR="003D793A" w:rsidRPr="003D793A">
        <w:rPr>
          <w:sz w:val="22"/>
          <w:szCs w:val="22"/>
        </w:rPr>
        <w:t>During the past Covid-19 pandemic, there was a lot of news on digital media about people who were no longer able to meet their daily needs due to unstable financial conditions so that the community's economy experienced a drastic decline</w:t>
      </w:r>
      <w:r w:rsidR="003D793A">
        <w:rPr>
          <w:sz w:val="22"/>
          <w:szCs w:val="22"/>
        </w:rPr>
        <w:t xml:space="preserve"> </w:t>
      </w:r>
      <w:r w:rsidR="003D793A">
        <w:rPr>
          <w:sz w:val="22"/>
          <w:szCs w:val="22"/>
        </w:rPr>
        <w:fldChar w:fldCharType="begin" w:fldLock="1"/>
      </w:r>
      <w:r w:rsidR="00BB37AB">
        <w:rPr>
          <w:sz w:val="22"/>
          <w:szCs w:val="22"/>
        </w:rPr>
        <w:instrText>ADDIN CSL_CITATION {"citationItems":[{"id":"ITEM-1","itemData":{"author":[{"dropping-particle":"","family":"Ariesto","given":"Edwin","non-dropping-particle":"","parse-names":false,"suffix":""},{"dropping-particle":"","family":"Malahina","given":"Umbu","non-dropping-particle":"","parse-names":false,"suffix":""},{"dropping-particle":"","family":"Clarissa","given":"Agustina","non-dropping-particle":"","parse-names":false,"suffix":""},{"dropping-particle":"","family":"Langoday","given":"Huko","non-dropping-particle":"","parse-names":false,"suffix":""},{"dropping-particle":"","family":"Studi","given":"Program","non-dropping-particle":"","parse-names":false,"suffix":""},{"dropping-particle":"","family":"Informatika","given":"Teknik","non-dropping-particle":"","parse-names":false,"suffix":""},{"dropping-particle":"","family":"Kupang","given":"Stikom Uyelindo","non-dropping-particle":"","parse-names":false,"suffix":""}],"id":"ITEM-1","issue":"1","issued":{"date-parts":[["2021"]]},"title":"Analisa Kebutuhan Pengembangan Model System","type":"article-journal","volume":"5"},"uris":["http://www.mendeley.com/documents/?uuid=811f036e-3264-44a6-ba10-f7a9aa657a17"]}],"mendeley":{"formattedCitation":"(Ariesto et al., 2021)","plainTextFormattedCitation":"(Ariesto et al., 2021)","previouslyFormattedCitation":"(Ariesto et al., 2021)"},"properties":{"noteIndex":0},"schema":"https://github.com/citation-style-language/schema/raw/master/csl-citation.json"}</w:instrText>
      </w:r>
      <w:r w:rsidR="003D793A">
        <w:rPr>
          <w:sz w:val="22"/>
          <w:szCs w:val="22"/>
        </w:rPr>
        <w:fldChar w:fldCharType="separate"/>
      </w:r>
      <w:r w:rsidR="003D793A" w:rsidRPr="003D793A">
        <w:rPr>
          <w:noProof/>
          <w:sz w:val="22"/>
          <w:szCs w:val="22"/>
        </w:rPr>
        <w:t>(Ariesto et al., 2021)</w:t>
      </w:r>
      <w:r w:rsidR="003D793A">
        <w:rPr>
          <w:sz w:val="22"/>
          <w:szCs w:val="22"/>
        </w:rPr>
        <w:fldChar w:fldCharType="end"/>
      </w:r>
      <w:r w:rsidR="003D793A">
        <w:rPr>
          <w:sz w:val="22"/>
          <w:szCs w:val="22"/>
        </w:rPr>
        <w:t xml:space="preserve">. </w:t>
      </w:r>
    </w:p>
    <w:p w14:paraId="0BE0A832" w14:textId="79234E4D" w:rsidR="003D793A" w:rsidRDefault="00BB37AB" w:rsidP="00481E6B">
      <w:pPr>
        <w:autoSpaceDE w:val="0"/>
        <w:autoSpaceDN w:val="0"/>
        <w:adjustRightInd w:val="0"/>
        <w:ind w:firstLine="567"/>
        <w:jc w:val="both"/>
        <w:rPr>
          <w:sz w:val="22"/>
          <w:szCs w:val="22"/>
        </w:rPr>
      </w:pPr>
      <w:r w:rsidRPr="00BB37AB">
        <w:rPr>
          <w:sz w:val="22"/>
          <w:szCs w:val="22"/>
        </w:rPr>
        <w:t>In previous research, it was stated that sleepiness and boredom in the teaching room reduces the cognitive effectiveness of the brain and in other research it also ranges in a similar age range</w:t>
      </w:r>
      <w:r w:rsidR="00072797">
        <w:rPr>
          <w:sz w:val="22"/>
          <w:szCs w:val="22"/>
        </w:rPr>
        <w:t xml:space="preserve"> </w:t>
      </w:r>
      <w:r w:rsidR="00072797">
        <w:rPr>
          <w:sz w:val="22"/>
          <w:szCs w:val="22"/>
        </w:rPr>
        <w:fldChar w:fldCharType="begin" w:fldLock="1"/>
      </w:r>
      <w:r w:rsidR="00072797">
        <w:rPr>
          <w:sz w:val="22"/>
          <w:szCs w:val="22"/>
        </w:rPr>
        <w:instrText>ADDIN CSL_CITATION {"citationItems":[{"id":"ITEM-1","itemData":{"ISBN":"9786230971044","author":[{"dropping-particle":"","family":"Yuniana Cahyaningrum, Yulifda Elin Yuspita, Diana, Asrul Sani, Yudo Devianto, Ragel Trisudarmo, I Kadek Arya Sugianta, Heru Budianto, Noni Rahmawati, Meidar Hadi Avizenna, Novi Aryani Fitri, Darmawan Aditama, Miftahul Jannah","given":"Yutika Amelia Effend.","non-dropping-particle":"","parse-names":false,"suffix":""}],"edition":"1","editor":[{"dropping-particle":"","family":"Artika Arsita, S.Kom.","given":"M.MSI.","non-dropping-particle":"","parse-names":false,"suffix":""}],"id":"ITEM-1","issued":{"date-parts":[["2023"]]},"number-of-pages":"198","publisher":"PT Penamuda Media","publisher-place":"Yogyaka","title":"Arsitektur dan Organisasi Komputer","type":"book"},"uris":["http://www.mendeley.com/documents/?uuid=8ec9675f-8405-4d6f-861d-f2fc377e0716"]}],"mendeley":{"formattedCitation":"(Yuniana Cahyaningrum, Yulifda Elin Yuspita, Diana, Asrul Sani, Yudo Devianto, Ragel Trisudarmo, I Kadek Arya Sugianta, Heru Budianto, Noni Rahmawati, Meidar Hadi Avizenna, Novi Aryani Fitri, Darmawan Aditama, Miftahul Jannah, 2023)","manualFormatting":"(Cahyaningrum et al., 2023)","plainTextFormattedCitation":"(Yuniana Cahyaningrum, Yulifda Elin Yuspita, Diana, Asrul Sani, Yudo Devianto, Ragel Trisudarmo, I Kadek Arya Sugianta, Heru Budianto, Noni Rahmawati, Meidar Hadi Avizenna, Novi Aryani Fitri, Darmawan Aditama, Miftahul Jannah, 2023)","previouslyFormattedCitation":"(Yuniana Cahyaningrum, Yulifda Elin Yuspita, Diana, Asrul Sani, Yudo Devianto, Ragel Trisudarmo, I Kadek Arya Sugianta, Heru Budianto, Noni Rahmawati, Meidar Hadi Avizenna, Novi Aryani Fitri, Darmawan Aditama, Miftahul Jannah, 2023)"},"properties":{"noteIndex":0},"schema":"https://github.com/citation-style-language/schema/raw/master/csl-citation.json"}</w:instrText>
      </w:r>
      <w:r w:rsidR="00072797">
        <w:rPr>
          <w:sz w:val="22"/>
          <w:szCs w:val="22"/>
        </w:rPr>
        <w:fldChar w:fldCharType="separate"/>
      </w:r>
      <w:r w:rsidR="00072797" w:rsidRPr="00072797">
        <w:rPr>
          <w:noProof/>
          <w:sz w:val="22"/>
          <w:szCs w:val="22"/>
        </w:rPr>
        <w:t>(Cahyaningrum</w:t>
      </w:r>
      <w:r w:rsidR="00072797">
        <w:rPr>
          <w:noProof/>
          <w:sz w:val="22"/>
          <w:szCs w:val="22"/>
        </w:rPr>
        <w:t xml:space="preserve"> et al.</w:t>
      </w:r>
      <w:r w:rsidR="00072797" w:rsidRPr="00072797">
        <w:rPr>
          <w:noProof/>
          <w:sz w:val="22"/>
          <w:szCs w:val="22"/>
        </w:rPr>
        <w:t>, 2023)</w:t>
      </w:r>
      <w:r w:rsidR="00072797">
        <w:rPr>
          <w:sz w:val="22"/>
          <w:szCs w:val="22"/>
        </w:rPr>
        <w:fldChar w:fldCharType="end"/>
      </w:r>
      <w:r w:rsidRPr="00BB37AB">
        <w:rPr>
          <w:sz w:val="22"/>
          <w:szCs w:val="22"/>
        </w:rPr>
        <w:t xml:space="preserve">. However, in both studies, data collection and regression decisions were still carried out manually. In the research entitled smart system for detecting drowsiness in the classroom, the idea of carrying out visual tracking on students has also been initiated using centralized servers and the internet of things as well as simple AI as intelligent predictions, but the paper does not clearly explain the method used to achieve this. this goal </w:t>
      </w:r>
      <w:r>
        <w:rPr>
          <w:sz w:val="22"/>
          <w:szCs w:val="22"/>
        </w:rPr>
        <w:t>and also</w:t>
      </w:r>
      <w:r w:rsidRPr="00BB37AB">
        <w:rPr>
          <w:sz w:val="22"/>
          <w:szCs w:val="22"/>
        </w:rPr>
        <w:t xml:space="preserve"> whether the implementation of the experiment was successful in detecting the subject or not</w:t>
      </w:r>
      <w:r>
        <w:rPr>
          <w:sz w:val="22"/>
          <w:szCs w:val="22"/>
        </w:rPr>
        <w:t xml:space="preserve"> </w:t>
      </w:r>
      <w:r>
        <w:rPr>
          <w:sz w:val="22"/>
          <w:szCs w:val="22"/>
        </w:rPr>
        <w:fldChar w:fldCharType="begin" w:fldLock="1"/>
      </w:r>
      <w:r w:rsidR="00AC1194">
        <w:rPr>
          <w:sz w:val="22"/>
          <w:szCs w:val="22"/>
        </w:rPr>
        <w:instrText>ADDIN CSL_CITATION {"citationItems":[{"id":"ITEM-1","itemData":{"DOI":"10.31315/telematika.v19i2.7044","ISSN":"1829-667X","abstract":"Online lectures are mandatory to deal with the implementation of education during the COVID-19 pandemic. This significant change certainly creates a different experience for students. Regarding online learning, several public health experts and ophthalmologists say that residual radiation from electronic screens is causing an epidemic of eye fatigue. Research on smart classrooms actually appeared several years ago, but in reality it has not been implemented according to the planned concept. The current smart classroom research environment only uses outdated methods, which make the computer system incongruent (such as decision trees in video feeds) or only to the level of empirical studies or blueprints, which are not much help for other academic footing or reference materials. to students. This study aims to build an intelligent system that can evaluate students' attention during online classes, use teaching videos as learning feeds and input for predictions and also use advanced algorithms in several computational domains, namely face segmentation, landmarking, PERCLOS observations, Yawning and decision analysis using Ensemble Regression Trees to detect students' sleepiness, which is expected to patch up the shortcomings of the PERCLOS algorithm and the problems found in the single regression tree-based implementation. Based on the results of the tests that have been carried out, the system developed has been able to observe sleepy objects in learning videos with an accuracy of 80% so that later it can be a lesson for teachers why there are students who are sleepy during online classes either because of uninteresting material or other reasons.","author":[{"dropping-particle":"","family":"Udayana","given":"I Putu Agus Eka Darma","non-dropping-particle":"","parse-names":false,"suffix":""},{"dropping-particle":"","family":"Kherismawati","given":"Ni Putu Eka","non-dropping-particle":"","parse-names":false,"suffix":""},{"dropping-particle":"","family":"Sudipa","given":"I Gede Iwan","non-dropping-particle":"","parse-names":false,"suffix":""}],"container-title":"Telematika","id":"ITEM-1","issue":"2","issued":{"date-parts":[["2022"]]},"page":"229","title":"Detection of Student Drowsiness Using Ensemble Regression Trees in Online Learning During a COVID-19 Pandemic","type":"article-journal","volume":"19"},"uris":["http://www.mendeley.com/documents/?uuid=69509ac7-ccc6-4b3f-9de1-de0c754fb533"]}],"mendeley":{"formattedCitation":"(Udayana et al., 2022)","plainTextFormattedCitation":"(Udayana et al., 2022)","previouslyFormattedCitation":"(Udayana et al., 2022)"},"properties":{"noteIndex":0},"schema":"https://github.com/citation-style-language/schema/raw/master/csl-citation.json"}</w:instrText>
      </w:r>
      <w:r>
        <w:rPr>
          <w:sz w:val="22"/>
          <w:szCs w:val="22"/>
        </w:rPr>
        <w:fldChar w:fldCharType="separate"/>
      </w:r>
      <w:r w:rsidRPr="00BB37AB">
        <w:rPr>
          <w:noProof/>
          <w:sz w:val="22"/>
          <w:szCs w:val="22"/>
        </w:rPr>
        <w:t>(Udayana et al., 2022)</w:t>
      </w:r>
      <w:r>
        <w:rPr>
          <w:sz w:val="22"/>
          <w:szCs w:val="22"/>
        </w:rPr>
        <w:fldChar w:fldCharType="end"/>
      </w:r>
      <w:r>
        <w:rPr>
          <w:sz w:val="22"/>
          <w:szCs w:val="22"/>
        </w:rPr>
        <w:t xml:space="preserve">. </w:t>
      </w:r>
    </w:p>
    <w:p w14:paraId="2A859758" w14:textId="54774804" w:rsidR="00E351E7" w:rsidRDefault="00AC1194" w:rsidP="00481E6B">
      <w:pPr>
        <w:autoSpaceDE w:val="0"/>
        <w:autoSpaceDN w:val="0"/>
        <w:adjustRightInd w:val="0"/>
        <w:ind w:firstLine="567"/>
        <w:jc w:val="both"/>
        <w:rPr>
          <w:sz w:val="22"/>
          <w:szCs w:val="22"/>
        </w:rPr>
      </w:pPr>
      <w:r w:rsidRPr="00AC1194">
        <w:rPr>
          <w:sz w:val="22"/>
          <w:szCs w:val="22"/>
        </w:rPr>
        <w:t>Disruption of educational programs and decline in academic achievement due to ongoing temporary suspension schools and the closure of schools and universities have a negative impact on the outcomes of the educational process and healthy education from generation to generation which represents the country's social capital</w:t>
      </w:r>
      <w:r w:rsidR="00072797">
        <w:rPr>
          <w:sz w:val="22"/>
          <w:szCs w:val="22"/>
        </w:rPr>
        <w:t xml:space="preserve"> </w:t>
      </w:r>
      <w:r w:rsidR="00072797">
        <w:rPr>
          <w:sz w:val="22"/>
          <w:szCs w:val="22"/>
        </w:rPr>
        <w:fldChar w:fldCharType="begin" w:fldLock="1"/>
      </w:r>
      <w:r w:rsidR="00072797">
        <w:rPr>
          <w:sz w:val="22"/>
          <w:szCs w:val="22"/>
        </w:rPr>
        <w:instrText>ADDIN CSL_CITATION {"citationItems":[{"id":"ITEM-1","itemData":{"ISBN":"9780333227794","author":[{"dropping-particle":"","family":"Fitrisia Munir, Irfan Nursetiawan, Yuniana Cahyaningrum, Hermi Oppier","given":"Soni Suardi","non-dropping-particle":"","parse-names":false,"suffix":""}],"container-title":"CV. Karsa Cendekia","id":"ITEM-1","issued":{"date-parts":[["2023"]]},"number-of-pages":"89","title":"Kebijakan Publik di Era Digital","type":"book"},"uris":["http://www.mendeley.com/documents/?uuid=c239017a-5958-4c60-9788-46dbe2c8bc11"]}],"mendeley":{"formattedCitation":"(Fitrisia Munir, Irfan Nursetiawan, Yuniana Cahyaningrum, Hermi Oppier, 2023)","manualFormatting":"(Munir et al., 2023)","plainTextFormattedCitation":"(Fitrisia Munir, Irfan Nursetiawan, Yuniana Cahyaningrum, Hermi Oppier, 2023)"},"properties":{"noteIndex":0},"schema":"https://github.com/citation-style-language/schema/raw/master/csl-citation.json"}</w:instrText>
      </w:r>
      <w:r w:rsidR="00072797">
        <w:rPr>
          <w:sz w:val="22"/>
          <w:szCs w:val="22"/>
        </w:rPr>
        <w:fldChar w:fldCharType="separate"/>
      </w:r>
      <w:r w:rsidR="00072797" w:rsidRPr="00072797">
        <w:rPr>
          <w:noProof/>
          <w:sz w:val="22"/>
          <w:szCs w:val="22"/>
        </w:rPr>
        <w:t>(Munir</w:t>
      </w:r>
      <w:r w:rsidR="00072797">
        <w:rPr>
          <w:noProof/>
          <w:sz w:val="22"/>
          <w:szCs w:val="22"/>
        </w:rPr>
        <w:t xml:space="preserve"> et al.</w:t>
      </w:r>
      <w:r w:rsidR="00072797" w:rsidRPr="00072797">
        <w:rPr>
          <w:noProof/>
          <w:sz w:val="22"/>
          <w:szCs w:val="22"/>
        </w:rPr>
        <w:t>, 2023)</w:t>
      </w:r>
      <w:r w:rsidR="00072797">
        <w:rPr>
          <w:sz w:val="22"/>
          <w:szCs w:val="22"/>
        </w:rPr>
        <w:fldChar w:fldCharType="end"/>
      </w:r>
      <w:r w:rsidRPr="00AC1194">
        <w:rPr>
          <w:sz w:val="22"/>
          <w:szCs w:val="22"/>
        </w:rPr>
        <w:t>. This academic setback is detrimental to the UN-sponsored sustainable development program, which will have a significant impact on developing countries economy</w:t>
      </w:r>
      <w:r>
        <w:rPr>
          <w:sz w:val="22"/>
          <w:szCs w:val="22"/>
        </w:rPr>
        <w:t xml:space="preserve"> </w:t>
      </w:r>
      <w:r>
        <w:rPr>
          <w:sz w:val="22"/>
          <w:szCs w:val="22"/>
        </w:rPr>
        <w:fldChar w:fldCharType="begin" w:fldLock="1"/>
      </w:r>
      <w:r w:rsidR="005608DC">
        <w:rPr>
          <w:sz w:val="22"/>
          <w:szCs w:val="22"/>
        </w:rPr>
        <w:instrText>ADDIN CSL_CITATION {"citationItems":[{"id":"ITEM-1","itemData":{"DOI":"10.26855/er.2021.03.005","ISSN":"25757938","abstract":"In this paper, a roadmap is proposed and introduced to support educational policies, plans, strategies, and practices in developing countries. The operational research approaches are used to identify and assess all academic activities and processes such as educational policies, educational settlement and equipment, educational curricula &amp; courses, teaching methods, capacity building, funding &amp; budgeting, and educational evaluation. The systematical academic performances (access, equity, quality, relevance, efficiency) will be considered, including the gaps and expectations of various stakeholders on education and training policy, evaluating the policy's sufficiency and its implementation strategy feeling the current vision and the development perspectives of these countries. The proposed roadmap will serve as a tool or reference point for setting ambitious improvement goals. Building government education officials' capacity increases the potential for improvement in numerous ways, as it provides a systematic approach to quality improvement by identifying new ideas and innovative approaches.","author":[{"dropping-particle":"","family":"Ewiss","given":"M. A. Zaki","non-dropping-particle":"","parse-names":false,"suffix":""}],"container-title":"The Educational Review, USA","id":"ITEM-1","issue":"3","issued":{"date-parts":[["2021"]]},"page":"57-69","title":"Roadmap for Education Development Post COVID-19","type":"article-journal","volume":"5"},"uris":["http://www.mendeley.com/documents/?uuid=6c227e24-51ad-4e5a-b9d4-407be4b26c85"]}],"mendeley":{"formattedCitation":"(Ewiss, 2021)","plainTextFormattedCitation":"(Ewiss, 2021)","previouslyFormattedCitation":"(Ewiss, 2021)"},"properties":{"noteIndex":0},"schema":"https://github.com/citation-style-language/schema/raw/master/csl-citation.json"}</w:instrText>
      </w:r>
      <w:r>
        <w:rPr>
          <w:sz w:val="22"/>
          <w:szCs w:val="22"/>
        </w:rPr>
        <w:fldChar w:fldCharType="separate"/>
      </w:r>
      <w:r w:rsidRPr="00AC1194">
        <w:rPr>
          <w:noProof/>
          <w:sz w:val="22"/>
          <w:szCs w:val="22"/>
        </w:rPr>
        <w:t>(Ewiss, 2021)</w:t>
      </w:r>
      <w:r>
        <w:rPr>
          <w:sz w:val="22"/>
          <w:szCs w:val="22"/>
        </w:rPr>
        <w:fldChar w:fldCharType="end"/>
      </w:r>
      <w:r w:rsidRPr="00AC1194">
        <w:rPr>
          <w:sz w:val="22"/>
          <w:szCs w:val="22"/>
        </w:rPr>
        <w:t>.</w:t>
      </w:r>
      <w:r w:rsidR="00A77710">
        <w:rPr>
          <w:sz w:val="22"/>
          <w:szCs w:val="22"/>
        </w:rPr>
        <w:t xml:space="preserve"> </w:t>
      </w:r>
      <w:r w:rsidR="005608DC" w:rsidRPr="005608DC">
        <w:rPr>
          <w:sz w:val="22"/>
          <w:szCs w:val="22"/>
        </w:rPr>
        <w:t>In recent years, the globalization of higher education combined with the spread of digital technologies has generated strong political and social pressure for universities to continuously innovate in their teaching and learning practices</w:t>
      </w:r>
      <w:r w:rsidR="005608DC">
        <w:rPr>
          <w:sz w:val="22"/>
          <w:szCs w:val="22"/>
        </w:rPr>
        <w:t xml:space="preserve"> </w:t>
      </w:r>
      <w:r w:rsidR="005608DC">
        <w:rPr>
          <w:sz w:val="22"/>
          <w:szCs w:val="22"/>
        </w:rPr>
        <w:fldChar w:fldCharType="begin" w:fldLock="1"/>
      </w:r>
      <w:r w:rsidR="005608DC">
        <w:rPr>
          <w:sz w:val="22"/>
          <w:szCs w:val="22"/>
        </w:rPr>
        <w:instrText>ADDIN CSL_CITATION {"citationItems":[{"id":"ITEM-1","itemData":{"DOI":"10.3390/electronics11030413","ISSN":"20799292","abstract":"During the COVID-19 pandemic, most Higher Education Institutions (HEIs) across the globe moved towards “emergency online education”, experiencing a metamorphosis that advanced their capacities and competencies as never before. Teaching and Learning Centers (TLCs), the internal units that promote sustainable transformations, can play a key role in making this metamorphosis last. Existing models for TLCs have defined the competencies that they could help develop, focusing on teachers’, students’, and managers’ development, but have mislead aspects such as leadership, organizational processes, and infrastructures. This paper evaluates the PROF-XXI framework, which offers a holistic perspective on the competencies that TLCs should develop for supporting deep and sustainable transformations of HEIs. The framework was evaluated with 83 participants from four Latin American institutions and used for analyzing the transformation of their teaching and learning practices during the pandemic lockdown. The result of the analysis shows that the PROF-XXI framework was useful for identifying the teaching and learning competencies addressed by the institutions, their deficiencies, and their strategic changes. Specifically, this study shows that most institutions counted with training plans for teachers before this period, mainly in the competencies of digital technologies and pedagogical quality, but that other initiatives were created to reinforce them, including students’ support actions.","author":[{"dropping-particle":"","family":"Pérez-Sanagustín","given":"Mar","non-dropping-particle":"","parse-names":false,"suffix":""},{"dropping-particle":"","family":"Kotorov","given":"Iouri","non-dropping-particle":"","parse-names":false,"suffix":""},{"dropping-particle":"","family":"Teixeira","given":"António","non-dropping-particle":"","parse-names":false,"suffix":""},{"dropping-particle":"","family":"Mansilla","given":"Fernanda","non-dropping-particle":"","parse-names":false,"suffix":""},{"dropping-particle":"","family":"Broisin","given":"Julien","non-dropping-particle":"","parse-names":false,"suffix":""},{"dropping-particle":"","family":"Alario-Hoyos","given":"Carlos","non-dropping-particle":"","parse-names":false,"suffix":""},{"dropping-particle":"","family":"Jerez","given":"Óscar","non-dropping-particle":"","parse-names":false,"suffix":""},{"dropping-particle":"","family":"Teixeira Pinto","given":"Maria Do Carmo","non-dropping-particle":"","parse-names":false,"suffix":""},{"dropping-particle":"","family":"García","given":"Boni","non-dropping-particle":"","parse-names":false,"suffix":""},{"dropping-particle":"","family":"Delgado Kloos","given":"Carlos","non-dropping-particle":"","parse-names":false,"suffix":""},{"dropping-particle":"","family":"Morales","given":"Miguel","non-dropping-particle":"","parse-names":false,"suffix":""},{"dropping-particle":"","family":"Solarte","given":"Mario","non-dropping-particle":"","parse-names":false,"suffix":""},{"dropping-particle":"","family":"Oliva-Córdova","given":"Luis Magdiel","non-dropping-particle":"","parse-names":false,"suffix":""},{"dropping-particle":"","family":"Lopez","given":"Astrid Helena Gonzalez","non-dropping-particle":"","parse-names":false,"suffix":""}],"container-title":"Electronics (Switzerland)","id":"ITEM-1","issue":"3","issued":{"date-parts":[["2022"]]},"title":"A Competency Framework for Teaching and Learning Innovation Centers for the 21st Century: Anticipating the Post-COVID-19 Age","type":"article-journal","volume":"11"},"uris":["http://www.mendeley.com/documents/?uuid=47285a84-ec0a-489d-8de5-2ab0829e4e51"]}],"mendeley":{"formattedCitation":"(Pérez-Sanagustín et al., 2022)","plainTextFormattedCitation":"(Pérez-Sanagustín et al., 2022)","previouslyFormattedCitation":"(Pérez-Sanagustín et al., 2022)"},"properties":{"noteIndex":0},"schema":"https://github.com/citation-style-language/schema/raw/master/csl-citation.json"}</w:instrText>
      </w:r>
      <w:r w:rsidR="005608DC">
        <w:rPr>
          <w:sz w:val="22"/>
          <w:szCs w:val="22"/>
        </w:rPr>
        <w:fldChar w:fldCharType="separate"/>
      </w:r>
      <w:r w:rsidR="005608DC" w:rsidRPr="005608DC">
        <w:rPr>
          <w:noProof/>
          <w:sz w:val="22"/>
          <w:szCs w:val="22"/>
        </w:rPr>
        <w:t>(Pérez-Sanagustín et al., 2022)</w:t>
      </w:r>
      <w:r w:rsidR="005608DC">
        <w:rPr>
          <w:sz w:val="22"/>
          <w:szCs w:val="22"/>
        </w:rPr>
        <w:fldChar w:fldCharType="end"/>
      </w:r>
      <w:r w:rsidR="005608DC">
        <w:rPr>
          <w:sz w:val="22"/>
          <w:szCs w:val="22"/>
        </w:rPr>
        <w:t xml:space="preserve">. </w:t>
      </w:r>
      <w:r w:rsidR="005608DC" w:rsidRPr="005608DC">
        <w:rPr>
          <w:sz w:val="22"/>
          <w:szCs w:val="22"/>
        </w:rPr>
        <w:t>The right information technology system and architecture can help logistics companies improve visibility, coordination and efficiency in managing goods expeditions</w:t>
      </w:r>
      <w:r w:rsidR="005608DC">
        <w:rPr>
          <w:sz w:val="22"/>
          <w:szCs w:val="22"/>
        </w:rPr>
        <w:t xml:space="preserve"> </w:t>
      </w:r>
      <w:r w:rsidR="005608DC">
        <w:rPr>
          <w:sz w:val="22"/>
          <w:szCs w:val="22"/>
        </w:rPr>
        <w:fldChar w:fldCharType="begin" w:fldLock="1"/>
      </w:r>
      <w:r w:rsidR="00226631">
        <w:rPr>
          <w:sz w:val="22"/>
          <w:szCs w:val="22"/>
        </w:rPr>
        <w:instrText>ADDIN CSL_CITATION {"citationItems":[{"id":"ITEM-1","itemData":{"author":[{"dropping-particle":"","family":"Cahyaningrum","given":"Yuniana","non-dropping-particle":"","parse-names":false,"suffix":""}],"container-title":"Jurnal Rekayasa Sistem Informasi dan Teknologi (JRSIT)","id":"ITEM-1","issue":"2","issued":{"date-parts":[["2023"]]},"page":"118-122","title":"Analisis Tata Kelola Arsitektur dan Perancangan Sistem Enterprise dalam Ekspedisi Barang Pada Perusahaan Logistik","type":"article-journal","volume":"1"},"uris":["http://www.mendeley.com/documents/?uuid=dd7e1ec8-4cbd-49fd-98c0-ed7a85f06c4b"]}],"mendeley":{"formattedCitation":"(Cahyaningrum, 2023a)","plainTextFormattedCitation":"(Cahyaningrum, 2023a)","previouslyFormattedCitation":"(Cahyaningrum, 2023a)"},"properties":{"noteIndex":0},"schema":"https://github.com/citation-style-language/schema/raw/master/csl-citation.json"}</w:instrText>
      </w:r>
      <w:r w:rsidR="005608DC">
        <w:rPr>
          <w:sz w:val="22"/>
          <w:szCs w:val="22"/>
        </w:rPr>
        <w:fldChar w:fldCharType="separate"/>
      </w:r>
      <w:r w:rsidR="005608DC" w:rsidRPr="005608DC">
        <w:rPr>
          <w:noProof/>
          <w:sz w:val="22"/>
          <w:szCs w:val="22"/>
        </w:rPr>
        <w:t>(Cahyaningrum, 2023a)</w:t>
      </w:r>
      <w:r w:rsidR="005608DC">
        <w:rPr>
          <w:sz w:val="22"/>
          <w:szCs w:val="22"/>
        </w:rPr>
        <w:fldChar w:fldCharType="end"/>
      </w:r>
      <w:r w:rsidR="005608DC">
        <w:rPr>
          <w:sz w:val="22"/>
          <w:szCs w:val="22"/>
        </w:rPr>
        <w:t>.</w:t>
      </w:r>
    </w:p>
    <w:p w14:paraId="3E61807D" w14:textId="7755679A" w:rsidR="00007F38" w:rsidRDefault="00923175" w:rsidP="00481E6B">
      <w:pPr>
        <w:autoSpaceDE w:val="0"/>
        <w:autoSpaceDN w:val="0"/>
        <w:adjustRightInd w:val="0"/>
        <w:ind w:firstLine="567"/>
        <w:jc w:val="both"/>
        <w:rPr>
          <w:sz w:val="22"/>
          <w:szCs w:val="22"/>
          <w:lang w:val="id-ID"/>
        </w:rPr>
      </w:pPr>
      <w:r w:rsidRPr="00923175">
        <w:rPr>
          <w:sz w:val="22"/>
          <w:szCs w:val="22"/>
          <w:lang w:val="id-ID"/>
        </w:rPr>
        <w:t xml:space="preserve">There is a need for academics and practitioners to review the success of model e-learning systems in the post-COVID-19 era. Previous research results show that information quality, system quality, and service quality have a positive influence on user satisfaction and communication quality, which, in turn, has a positive impact on loyalty intentions and subsequently increases learning effectiveness. This research found several important theoretical and practical implications for the </w:t>
      </w:r>
      <w:r w:rsidRPr="00923175">
        <w:rPr>
          <w:sz w:val="22"/>
          <w:szCs w:val="22"/>
          <w:lang w:val="id-ID"/>
        </w:rPr>
        <w:lastRenderedPageBreak/>
        <w:t>success model of e-learning systems in the post-COVID-19 era</w:t>
      </w:r>
      <w:r w:rsidR="00226631">
        <w:rPr>
          <w:sz w:val="22"/>
          <w:szCs w:val="22"/>
        </w:rPr>
        <w:t xml:space="preserve"> </w:t>
      </w:r>
      <w:r w:rsidR="00226631">
        <w:rPr>
          <w:sz w:val="22"/>
          <w:szCs w:val="22"/>
        </w:rPr>
        <w:fldChar w:fldCharType="begin" w:fldLock="1"/>
      </w:r>
      <w:r w:rsidR="006D741E">
        <w:rPr>
          <w:sz w:val="22"/>
          <w:szCs w:val="22"/>
        </w:rPr>
        <w:instrText>ADDIN CSL_CITATION {"citationItems":[{"id":"ITEM-1","itemData":{"DOI":"10.1080/10447318.2023.2231278","ISSN":"15327590","abstract":"The COVID-19 pandemic brought about significant changes in educational delivery methods and student learning. E-learning systems, which previous research had found to be effective in voluntary contexts, suddenly became mandatory but proved to be less effective for students worldwide. Hence, there is a need for academics and practitioners to revisit the e-learning systems success model in the post-COVID-19 era. Building upon previous e-learning and information systems success models, this study aimed to re-specify and validate the e-learning systems success model by examining the role of monitoring quality. Data were collected from 191 college students and analyzed using the partial least squares approach. The results indicated that information quality, system quality, and service quality had a positive influence on both user satisfaction and communication quality, which, in turn, positively impacted loyalty intention and subsequently enhanced learning effectiveness. Notably, the newly added construct of monitoring quality had the strongest effect on communication quality compared to information quality, system quality, service quality, and monitoring quality. However, it had no impact on user satisfaction. The findings of this study provide several important theoretical and practical implications for e-learning systems success models in the post-COVID-19 era.","author":[{"dropping-particle":"","family":"Wang","given":"Yu Min","non-dropping-particle":"","parse-names":false,"suffix":""},{"dropping-particle":"","family":"Wei","given":"Chung Lun","non-dropping-particle":"","parse-names":false,"suffix":""},{"dropping-particle":"","family":"Chen","given":"Wen Jing","non-dropping-particle":"","parse-names":false,"suffix":""},{"dropping-particle":"","family":"Wang","given":"Yi Shun","non-dropping-particle":"","parse-names":false,"suffix":""}],"container-title":"International Journal of Human-Computer Interaction","id":"ITEM-1","issue":"0","issued":{"date-parts":[["2023"]]},"page":"1-16","publisher":"Taylor &amp; Francis","title":"Revisiting the E-Learning Systems Success Model in the Post-COVID-19 Age: The Role of Monitoring Quality","type":"article-journal","volume":"0"},"uris":["http://www.mendeley.com/documents/?uuid=ae098d59-880c-4d15-abc1-5bf1627abb05"]}],"mendeley":{"formattedCitation":"(Wang et al., 2023)","plainTextFormattedCitation":"(Wang et al., 2023)","previouslyFormattedCitation":"(Wang et al., 2023)"},"properties":{"noteIndex":0},"schema":"https://github.com/citation-style-language/schema/raw/master/csl-citation.json"}</w:instrText>
      </w:r>
      <w:r w:rsidR="00226631">
        <w:rPr>
          <w:sz w:val="22"/>
          <w:szCs w:val="22"/>
        </w:rPr>
        <w:fldChar w:fldCharType="separate"/>
      </w:r>
      <w:r w:rsidR="00226631" w:rsidRPr="00226631">
        <w:rPr>
          <w:noProof/>
          <w:sz w:val="22"/>
          <w:szCs w:val="22"/>
        </w:rPr>
        <w:t>(Wang et al., 2023)</w:t>
      </w:r>
      <w:r w:rsidR="00226631">
        <w:rPr>
          <w:sz w:val="22"/>
          <w:szCs w:val="22"/>
        </w:rPr>
        <w:fldChar w:fldCharType="end"/>
      </w:r>
      <w:r w:rsidRPr="00923175">
        <w:rPr>
          <w:sz w:val="22"/>
          <w:szCs w:val="22"/>
          <w:lang w:val="id-ID"/>
        </w:rPr>
        <w:t>.</w:t>
      </w:r>
      <w:r>
        <w:rPr>
          <w:sz w:val="22"/>
          <w:szCs w:val="22"/>
        </w:rPr>
        <w:t xml:space="preserve"> </w:t>
      </w:r>
      <w:r w:rsidR="00E224D8" w:rsidRPr="00E224D8">
        <w:rPr>
          <w:sz w:val="22"/>
          <w:szCs w:val="22"/>
          <w:lang w:val="id-ID"/>
        </w:rPr>
        <w:t>By understanding the background and challenges faced by educational institutions, the development of this blueprint aims to provide a solid framework that can be adopted by various types of educational institutions. It is hoped that the implementation of this blueprint will pave the way for improving the quality of learning, the ability to adapt to changes in the learning environment, and make a positive contribution to the student learning experience in the post-COVID-19 pandemic era.</w:t>
      </w:r>
    </w:p>
    <w:p w14:paraId="322EBC69" w14:textId="77777777" w:rsidR="00A653A6" w:rsidRPr="00A648CF" w:rsidRDefault="00A653A6" w:rsidP="00D642E5">
      <w:pPr>
        <w:jc w:val="both"/>
        <w:rPr>
          <w:sz w:val="22"/>
          <w:szCs w:val="22"/>
        </w:rPr>
      </w:pPr>
    </w:p>
    <w:p w14:paraId="45FEE462" w14:textId="77777777" w:rsidR="00904D6D" w:rsidRPr="00BA6285" w:rsidRDefault="00C44EA0" w:rsidP="00481E6B">
      <w:pPr>
        <w:rPr>
          <w:b/>
          <w:bCs/>
          <w:sz w:val="22"/>
          <w:szCs w:val="22"/>
        </w:rPr>
      </w:pPr>
      <w:r w:rsidRPr="00BA6285">
        <w:rPr>
          <w:b/>
          <w:bCs/>
          <w:sz w:val="22"/>
          <w:szCs w:val="22"/>
        </w:rPr>
        <w:t>METHOD</w:t>
      </w:r>
    </w:p>
    <w:p w14:paraId="0BADE8E7" w14:textId="29CC91C1" w:rsidR="00007F38" w:rsidRDefault="00007F38" w:rsidP="00461BBF">
      <w:pPr>
        <w:jc w:val="both"/>
        <w:rPr>
          <w:color w:val="333333"/>
          <w:sz w:val="22"/>
          <w:szCs w:val="22"/>
          <w:shd w:val="clear" w:color="auto" w:fill="FFFFFF"/>
        </w:rPr>
      </w:pPr>
    </w:p>
    <w:p w14:paraId="2800568E" w14:textId="6414818C" w:rsidR="00007F38" w:rsidRDefault="006D741E" w:rsidP="00461BBF">
      <w:pPr>
        <w:ind w:firstLine="720"/>
        <w:jc w:val="both"/>
        <w:rPr>
          <w:sz w:val="22"/>
          <w:szCs w:val="22"/>
          <w:shd w:val="clear" w:color="auto" w:fill="FFFFFF"/>
        </w:rPr>
      </w:pPr>
      <w:r w:rsidRPr="006D741E">
        <w:rPr>
          <w:sz w:val="22"/>
          <w:szCs w:val="22"/>
          <w:shd w:val="clear" w:color="auto" w:fill="FFFFFF"/>
        </w:rPr>
        <w:t xml:space="preserve">Methods used in developing an Information System blueprint for Monitoring the Post-COVID-19 Pandemic Learning Process. Several stages of the method carried out in this research </w:t>
      </w:r>
      <w:proofErr w:type="gramStart"/>
      <w:r w:rsidRPr="006D741E">
        <w:rPr>
          <w:sz w:val="22"/>
          <w:szCs w:val="22"/>
          <w:shd w:val="clear" w:color="auto" w:fill="FFFFFF"/>
        </w:rPr>
        <w:t>include</w:t>
      </w:r>
      <w:r>
        <w:rPr>
          <w:sz w:val="22"/>
          <w:szCs w:val="22"/>
          <w:shd w:val="clear" w:color="auto" w:fill="FFFFFF"/>
        </w:rPr>
        <w:t xml:space="preserve"> </w:t>
      </w:r>
      <w:r w:rsidRPr="006D741E">
        <w:rPr>
          <w:sz w:val="22"/>
          <w:szCs w:val="22"/>
          <w:shd w:val="clear" w:color="auto" w:fill="FFFFFF"/>
        </w:rPr>
        <w:t>:</w:t>
      </w:r>
      <w:proofErr w:type="gramEnd"/>
    </w:p>
    <w:p w14:paraId="1203F54B" w14:textId="2831515A" w:rsidR="002C1699" w:rsidRDefault="005D6D2A"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5D6D2A">
        <w:rPr>
          <w:rFonts w:ascii="Times New Roman" w:hAnsi="Times New Roman"/>
          <w:shd w:val="clear" w:color="auto" w:fill="FFFFFF"/>
        </w:rPr>
        <w:t>Identify needs</w:t>
      </w:r>
    </w:p>
    <w:p w14:paraId="6A1BAB35" w14:textId="3C57AD41" w:rsidR="00461BBF" w:rsidRPr="002C1699" w:rsidRDefault="002C1699" w:rsidP="002C1699">
      <w:pPr>
        <w:pStyle w:val="ListParagraph"/>
        <w:spacing w:after="0" w:line="240" w:lineRule="auto"/>
        <w:ind w:left="426"/>
        <w:jc w:val="both"/>
        <w:rPr>
          <w:rFonts w:ascii="Times New Roman" w:hAnsi="Times New Roman"/>
          <w:shd w:val="clear" w:color="auto" w:fill="FFFFFF"/>
        </w:rPr>
      </w:pPr>
      <w:r w:rsidRPr="002C1699">
        <w:rPr>
          <w:rFonts w:ascii="Times New Roman" w:hAnsi="Times New Roman"/>
          <w:shd w:val="clear" w:color="auto" w:fill="FFFFFF"/>
        </w:rPr>
        <w:t>Conduct a stakeholder analysis to identify key players, including administrators, educators, and students.</w:t>
      </w:r>
      <w:r>
        <w:rPr>
          <w:rFonts w:ascii="Times New Roman" w:hAnsi="Times New Roman"/>
          <w:shd w:val="clear" w:color="auto" w:fill="FFFFFF"/>
        </w:rPr>
        <w:t xml:space="preserve"> </w:t>
      </w:r>
      <w:r w:rsidRPr="002C1699">
        <w:rPr>
          <w:rFonts w:ascii="Times New Roman" w:hAnsi="Times New Roman"/>
          <w:shd w:val="clear" w:color="auto" w:fill="FFFFFF"/>
        </w:rPr>
        <w:t>Gather input on their specific needs and expectations for a post-pandemic learning monitoring system.</w:t>
      </w:r>
      <w:r>
        <w:rPr>
          <w:rFonts w:ascii="Times New Roman" w:hAnsi="Times New Roman"/>
          <w:shd w:val="clear" w:color="auto" w:fill="FFFFFF"/>
        </w:rPr>
        <w:t xml:space="preserve"> </w:t>
      </w:r>
      <w:r w:rsidRPr="002C1699">
        <w:rPr>
          <w:rFonts w:ascii="Times New Roman" w:hAnsi="Times New Roman"/>
          <w:shd w:val="clear" w:color="auto" w:fill="FFFFFF"/>
        </w:rPr>
        <w:t>Identify challenges and pain points experienced during the transition to remote learning.</w:t>
      </w:r>
    </w:p>
    <w:p w14:paraId="18C5BEA2" w14:textId="7553B118" w:rsidR="00461BBF" w:rsidRDefault="005D6D2A"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5D6D2A">
        <w:rPr>
          <w:rFonts w:ascii="Times New Roman" w:hAnsi="Times New Roman"/>
          <w:shd w:val="clear" w:color="auto" w:fill="FFFFFF"/>
        </w:rPr>
        <w:t>Analysis of the Post-Pandemic Learning Environment</w:t>
      </w:r>
    </w:p>
    <w:p w14:paraId="77F70FE9" w14:textId="37259D27" w:rsidR="002C1699" w:rsidRPr="00B80665" w:rsidRDefault="00B80665" w:rsidP="00B80665">
      <w:pPr>
        <w:pStyle w:val="ListParagraph"/>
        <w:spacing w:after="0" w:line="240" w:lineRule="auto"/>
        <w:ind w:left="426"/>
        <w:jc w:val="both"/>
        <w:rPr>
          <w:rFonts w:ascii="Times New Roman" w:hAnsi="Times New Roman"/>
          <w:shd w:val="clear" w:color="auto" w:fill="FFFFFF"/>
        </w:rPr>
      </w:pPr>
      <w:r w:rsidRPr="00B80665">
        <w:rPr>
          <w:rFonts w:ascii="Times New Roman" w:hAnsi="Times New Roman"/>
          <w:shd w:val="clear" w:color="auto" w:fill="FFFFFF"/>
        </w:rPr>
        <w:t>Evaluate the current post-pandemic learning environment, considering both physical and virtual aspects.</w:t>
      </w:r>
      <w:r>
        <w:rPr>
          <w:rFonts w:ascii="Times New Roman" w:hAnsi="Times New Roman"/>
          <w:shd w:val="clear" w:color="auto" w:fill="FFFFFF"/>
        </w:rPr>
        <w:t xml:space="preserve"> </w:t>
      </w:r>
      <w:proofErr w:type="spellStart"/>
      <w:r w:rsidRPr="00B80665">
        <w:rPr>
          <w:rFonts w:ascii="Times New Roman" w:hAnsi="Times New Roman"/>
          <w:shd w:val="clear" w:color="auto" w:fill="FFFFFF"/>
        </w:rPr>
        <w:t>Analyze</w:t>
      </w:r>
      <w:proofErr w:type="spellEnd"/>
      <w:r w:rsidRPr="00B80665">
        <w:rPr>
          <w:rFonts w:ascii="Times New Roman" w:hAnsi="Times New Roman"/>
          <w:shd w:val="clear" w:color="auto" w:fill="FFFFFF"/>
        </w:rPr>
        <w:t xml:space="preserve"> changes in pedagogical approaches, technology adoption, and student engagement strategies</w:t>
      </w:r>
      <w:r>
        <w:rPr>
          <w:rFonts w:ascii="Times New Roman" w:hAnsi="Times New Roman"/>
          <w:shd w:val="clear" w:color="auto" w:fill="FFFFFF"/>
        </w:rPr>
        <w:t xml:space="preserve">. </w:t>
      </w:r>
      <w:r w:rsidRPr="00B80665">
        <w:rPr>
          <w:rFonts w:ascii="Times New Roman" w:hAnsi="Times New Roman"/>
          <w:shd w:val="clear" w:color="auto" w:fill="FFFFFF"/>
        </w:rPr>
        <w:t>Assess the readiness of the institution and its stakeholders to embrace technological solutions.</w:t>
      </w:r>
    </w:p>
    <w:p w14:paraId="0328F65E" w14:textId="7ACE0613" w:rsidR="00461BBF" w:rsidRDefault="005D6D2A"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5D6D2A">
        <w:rPr>
          <w:rFonts w:ascii="Times New Roman" w:hAnsi="Times New Roman"/>
          <w:shd w:val="clear" w:color="auto" w:fill="FFFFFF"/>
        </w:rPr>
        <w:t>Selection of Development Methodology</w:t>
      </w:r>
    </w:p>
    <w:p w14:paraId="3C64D3BA" w14:textId="7DC3C95F" w:rsidR="002C1699" w:rsidRPr="00B80665" w:rsidRDefault="00B80665" w:rsidP="00B80665">
      <w:pPr>
        <w:pStyle w:val="ListParagraph"/>
        <w:spacing w:after="0" w:line="240" w:lineRule="auto"/>
        <w:ind w:left="426"/>
        <w:jc w:val="both"/>
        <w:rPr>
          <w:rFonts w:ascii="Times New Roman" w:hAnsi="Times New Roman"/>
          <w:shd w:val="clear" w:color="auto" w:fill="FFFFFF"/>
        </w:rPr>
      </w:pPr>
      <w:r w:rsidRPr="00B80665">
        <w:rPr>
          <w:rFonts w:ascii="Times New Roman" w:hAnsi="Times New Roman"/>
          <w:shd w:val="clear" w:color="auto" w:fill="FFFFFF"/>
        </w:rPr>
        <w:t>Choose an appropriate development methodology, considering factors such as flexibility, adaptability, and stakeholder involvement.</w:t>
      </w:r>
      <w:r>
        <w:rPr>
          <w:rFonts w:ascii="Times New Roman" w:hAnsi="Times New Roman"/>
          <w:shd w:val="clear" w:color="auto" w:fill="FFFFFF"/>
        </w:rPr>
        <w:t xml:space="preserve"> </w:t>
      </w:r>
      <w:r w:rsidRPr="00B80665">
        <w:rPr>
          <w:rFonts w:ascii="Times New Roman" w:hAnsi="Times New Roman"/>
          <w:shd w:val="clear" w:color="auto" w:fill="FFFFFF"/>
        </w:rPr>
        <w:t>Agile methodologies may be suitable for their iterative and collaborative nature in responding to evolving requirements</w:t>
      </w:r>
      <w:r>
        <w:rPr>
          <w:rFonts w:ascii="Times New Roman" w:hAnsi="Times New Roman"/>
          <w:shd w:val="clear" w:color="auto" w:fill="FFFFFF"/>
        </w:rPr>
        <w:t xml:space="preserve">. </w:t>
      </w:r>
    </w:p>
    <w:p w14:paraId="5D6D7254" w14:textId="4CD9A765" w:rsidR="002C1699" w:rsidRDefault="005D6D2A"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5D6D2A">
        <w:rPr>
          <w:rFonts w:ascii="Times New Roman" w:hAnsi="Times New Roman"/>
          <w:shd w:val="clear" w:color="auto" w:fill="FFFFFF"/>
        </w:rPr>
        <w:t>Analysis of Functional and Non-Functional Requirements</w:t>
      </w:r>
    </w:p>
    <w:p w14:paraId="726CB20D" w14:textId="69C774B5" w:rsidR="002C1699" w:rsidRPr="004A5496" w:rsidRDefault="00B80665" w:rsidP="004A5496">
      <w:pPr>
        <w:pStyle w:val="ListParagraph"/>
        <w:spacing w:after="0" w:line="240" w:lineRule="auto"/>
        <w:ind w:left="426"/>
        <w:jc w:val="both"/>
        <w:rPr>
          <w:rFonts w:ascii="Times New Roman" w:hAnsi="Times New Roman"/>
          <w:shd w:val="clear" w:color="auto" w:fill="FFFFFF"/>
        </w:rPr>
      </w:pPr>
      <w:r w:rsidRPr="00B80665">
        <w:rPr>
          <w:rFonts w:ascii="Times New Roman" w:hAnsi="Times New Roman"/>
          <w:shd w:val="clear" w:color="auto" w:fill="FFFFFF"/>
        </w:rPr>
        <w:t>Identify functional requirements, such as data collection, user authentication, and reporting capabilities.</w:t>
      </w:r>
      <w:r>
        <w:rPr>
          <w:rFonts w:ascii="Times New Roman" w:hAnsi="Times New Roman"/>
          <w:shd w:val="clear" w:color="auto" w:fill="FFFFFF"/>
        </w:rPr>
        <w:t xml:space="preserve"> </w:t>
      </w:r>
      <w:r w:rsidRPr="00B80665">
        <w:rPr>
          <w:rFonts w:ascii="Times New Roman" w:hAnsi="Times New Roman"/>
          <w:shd w:val="clear" w:color="auto" w:fill="FFFFFF"/>
        </w:rPr>
        <w:t>Determine non-functional requirements, including system scalability, security, and usability.</w:t>
      </w:r>
      <w:r w:rsidR="004A2A47">
        <w:rPr>
          <w:rFonts w:ascii="Times New Roman" w:hAnsi="Times New Roman"/>
          <w:shd w:val="clear" w:color="auto" w:fill="FFFFFF"/>
        </w:rPr>
        <w:t xml:space="preserve"> </w:t>
      </w:r>
      <w:r w:rsidR="004A2A47" w:rsidRPr="004A2A47">
        <w:rPr>
          <w:rFonts w:ascii="Times New Roman" w:hAnsi="Times New Roman"/>
          <w:shd w:val="clear" w:color="auto" w:fill="FFFFFF"/>
        </w:rPr>
        <w:t>Prioritize requirements based on their importance and impact on the monitoring process.</w:t>
      </w:r>
    </w:p>
    <w:p w14:paraId="2621D3D6" w14:textId="71B1F9DA" w:rsidR="002C1699" w:rsidRDefault="005D6D2A"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5D6D2A">
        <w:rPr>
          <w:rFonts w:ascii="Times New Roman" w:hAnsi="Times New Roman"/>
          <w:shd w:val="clear" w:color="auto" w:fill="FFFFFF"/>
        </w:rPr>
        <w:t>Information Systems Design</w:t>
      </w:r>
    </w:p>
    <w:p w14:paraId="3E7E96D2" w14:textId="4BAB6597" w:rsidR="002C1699" w:rsidRPr="004A5496" w:rsidRDefault="005D6D2A" w:rsidP="004A5496">
      <w:pPr>
        <w:pStyle w:val="ListParagraph"/>
        <w:ind w:left="426"/>
        <w:jc w:val="both"/>
        <w:rPr>
          <w:rFonts w:ascii="Times New Roman" w:hAnsi="Times New Roman"/>
          <w:shd w:val="clear" w:color="auto" w:fill="FFFFFF"/>
        </w:rPr>
      </w:pPr>
      <w:r w:rsidRPr="005D6D2A">
        <w:rPr>
          <w:rFonts w:ascii="Times New Roman" w:hAnsi="Times New Roman"/>
          <w:shd w:val="clear" w:color="auto" w:fill="FFFFFF"/>
        </w:rPr>
        <w:t>Develop system architecture that aligns with identified requirements. Define modules and subsystems for data collection, analysis, and reporting. Consider integration of existing learning management systems or databases.</w:t>
      </w:r>
    </w:p>
    <w:p w14:paraId="30A5CA13" w14:textId="6F2BBD64" w:rsidR="002C1699" w:rsidRDefault="006D741E"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6D741E">
        <w:rPr>
          <w:rFonts w:ascii="Times New Roman" w:hAnsi="Times New Roman"/>
          <w:shd w:val="clear" w:color="auto" w:fill="FFFFFF"/>
        </w:rPr>
        <w:t>Prototype Development</w:t>
      </w:r>
    </w:p>
    <w:p w14:paraId="7F9F1FE5" w14:textId="72AC866B" w:rsidR="004A5496" w:rsidRPr="004A5496" w:rsidRDefault="006D741E" w:rsidP="004A5496">
      <w:pPr>
        <w:pStyle w:val="ListParagraph"/>
        <w:ind w:left="426"/>
        <w:jc w:val="both"/>
        <w:rPr>
          <w:rFonts w:ascii="Times New Roman" w:hAnsi="Times New Roman"/>
          <w:shd w:val="clear" w:color="auto" w:fill="FFFFFF"/>
        </w:rPr>
      </w:pPr>
      <w:r w:rsidRPr="006D741E">
        <w:rPr>
          <w:rFonts w:ascii="Times New Roman" w:hAnsi="Times New Roman"/>
          <w:shd w:val="clear" w:color="auto" w:fill="FFFFFF"/>
        </w:rPr>
        <w:t>Build a monitoring system prototype to visualize key features and functions. Gather feedback from stakeholders to refine and refine the prototype. Iterate design and functionality based on user feedback.</w:t>
      </w:r>
    </w:p>
    <w:p w14:paraId="4A337E2F" w14:textId="7BE1F1D7" w:rsidR="004A5496" w:rsidRDefault="006D741E"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6D741E">
        <w:rPr>
          <w:rFonts w:ascii="Times New Roman" w:hAnsi="Times New Roman"/>
          <w:shd w:val="clear" w:color="auto" w:fill="FFFFFF"/>
        </w:rPr>
        <w:t>Implementation of Information Systems</w:t>
      </w:r>
    </w:p>
    <w:p w14:paraId="6A5A5ED5" w14:textId="1E55F099" w:rsidR="004A5496" w:rsidRPr="004A5496" w:rsidRDefault="006D741E" w:rsidP="004A5496">
      <w:pPr>
        <w:pStyle w:val="ListParagraph"/>
        <w:ind w:left="426"/>
        <w:jc w:val="both"/>
        <w:rPr>
          <w:rFonts w:ascii="Times New Roman" w:hAnsi="Times New Roman"/>
          <w:shd w:val="clear" w:color="auto" w:fill="FFFFFF"/>
        </w:rPr>
      </w:pPr>
      <w:r w:rsidRPr="006D741E">
        <w:rPr>
          <w:rFonts w:ascii="Times New Roman" w:hAnsi="Times New Roman"/>
          <w:shd w:val="clear" w:color="auto" w:fill="FFFFFF"/>
        </w:rPr>
        <w:t>Develop a full-scale monitoring system based on the final design. Ensure compatibility with existing infrastructure and perform thorough testing. Roll out the system in stages, allowing for gradual implementation and user adaptation. Document the entire development process, including requirements, design decisions, and implementation details.</w:t>
      </w:r>
    </w:p>
    <w:p w14:paraId="207A624D" w14:textId="2EC7708F" w:rsidR="004A5496" w:rsidRDefault="006D741E"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6D741E">
        <w:rPr>
          <w:rFonts w:ascii="Times New Roman" w:hAnsi="Times New Roman"/>
          <w:shd w:val="clear" w:color="auto" w:fill="FFFFFF"/>
        </w:rPr>
        <w:t>User Training and Acceptance</w:t>
      </w:r>
    </w:p>
    <w:p w14:paraId="27D1F490" w14:textId="3EDD6023" w:rsidR="004A5496" w:rsidRPr="004A5496" w:rsidRDefault="006D741E" w:rsidP="004A5496">
      <w:pPr>
        <w:pStyle w:val="ListParagraph"/>
        <w:ind w:left="426"/>
        <w:jc w:val="both"/>
        <w:rPr>
          <w:rFonts w:ascii="Times New Roman" w:hAnsi="Times New Roman"/>
          <w:shd w:val="clear" w:color="auto" w:fill="FFFFFF"/>
        </w:rPr>
      </w:pPr>
      <w:r w:rsidRPr="006D741E">
        <w:rPr>
          <w:rFonts w:ascii="Times New Roman" w:hAnsi="Times New Roman"/>
          <w:shd w:val="clear" w:color="auto" w:fill="FFFFFF"/>
        </w:rPr>
        <w:t>Provide training sessions for administrators, educators, and students on the use of the new system. Address any concerns or challenges during the training phase. Monitor user acceptance and collect feedback for further improvements.</w:t>
      </w:r>
    </w:p>
    <w:p w14:paraId="62BCDBCF" w14:textId="73B0EAD9" w:rsidR="004A5496" w:rsidRDefault="006D741E" w:rsidP="00461BBF">
      <w:pPr>
        <w:pStyle w:val="ListParagraph"/>
        <w:numPr>
          <w:ilvl w:val="0"/>
          <w:numId w:val="17"/>
        </w:numPr>
        <w:spacing w:after="0" w:line="240" w:lineRule="auto"/>
        <w:ind w:left="426" w:hanging="284"/>
        <w:jc w:val="both"/>
        <w:rPr>
          <w:rFonts w:ascii="Times New Roman" w:hAnsi="Times New Roman"/>
          <w:shd w:val="clear" w:color="auto" w:fill="FFFFFF"/>
        </w:rPr>
      </w:pPr>
      <w:r w:rsidRPr="006D741E">
        <w:rPr>
          <w:rFonts w:ascii="Times New Roman" w:hAnsi="Times New Roman"/>
          <w:shd w:val="clear" w:color="auto" w:fill="FFFFFF"/>
        </w:rPr>
        <w:t>Evaluation and Optimization</w:t>
      </w:r>
    </w:p>
    <w:p w14:paraId="03F21D3E" w14:textId="01BAB4A0" w:rsidR="00481E6B" w:rsidRPr="006D741E" w:rsidRDefault="006D741E" w:rsidP="006D741E">
      <w:pPr>
        <w:pStyle w:val="ListParagraph"/>
        <w:ind w:left="426"/>
        <w:jc w:val="both"/>
        <w:rPr>
          <w:rFonts w:ascii="Times New Roman" w:hAnsi="Times New Roman"/>
          <w:shd w:val="clear" w:color="auto" w:fill="FFFFFF"/>
        </w:rPr>
      </w:pPr>
      <w:r w:rsidRPr="006D741E">
        <w:rPr>
          <w:rFonts w:ascii="Times New Roman" w:hAnsi="Times New Roman"/>
          <w:shd w:val="clear" w:color="auto" w:fill="FFFFFF"/>
        </w:rPr>
        <w:lastRenderedPageBreak/>
        <w:t>Conduct ongoing evaluations to assess the effectiveness of the monitoring system. Collect performance metrics and user feedback for continuous improvement. Implement updates and optimizations based on evaluation results. Create user guides and documentation for future reference and troubleshooting.</w:t>
      </w:r>
    </w:p>
    <w:p w14:paraId="7B8B18B0" w14:textId="77777777" w:rsidR="00904D6D" w:rsidRDefault="00021BF8" w:rsidP="00481E6B">
      <w:pPr>
        <w:rPr>
          <w:b/>
          <w:sz w:val="22"/>
          <w:szCs w:val="22"/>
          <w:lang w:val="id-ID"/>
        </w:rPr>
      </w:pPr>
      <w:r w:rsidRPr="00DD416F">
        <w:rPr>
          <w:b/>
          <w:sz w:val="22"/>
          <w:szCs w:val="22"/>
        </w:rPr>
        <w:t>RESULTS AND DISCUSSION</w:t>
      </w:r>
    </w:p>
    <w:p w14:paraId="6A5445D3" w14:textId="74785A4D" w:rsidR="00481E6B" w:rsidRPr="00096633" w:rsidRDefault="00481E6B" w:rsidP="004C4925">
      <w:pPr>
        <w:jc w:val="both"/>
        <w:rPr>
          <w:color w:val="FF0000"/>
          <w:sz w:val="22"/>
          <w:szCs w:val="22"/>
        </w:rPr>
      </w:pPr>
    </w:p>
    <w:p w14:paraId="409757EB" w14:textId="2B7A641B" w:rsidR="00D26E94" w:rsidRDefault="006D741E" w:rsidP="00D26E94">
      <w:pPr>
        <w:ind w:firstLine="720"/>
        <w:jc w:val="both"/>
        <w:rPr>
          <w:sz w:val="22"/>
          <w:szCs w:val="22"/>
        </w:rPr>
      </w:pPr>
      <w:r w:rsidRPr="006D741E">
        <w:rPr>
          <w:sz w:val="22"/>
          <w:szCs w:val="22"/>
        </w:rPr>
        <w:t>Results and discussion on the Development of an Information System Blueprint for Monitoring the Post-COVID-19 Pandemic Learning Process. A flexible and scalable system architecture has been developed, enabling integration with existing educational infrastructure. Some of the modules include the main module as a learning data recording module so that it is able to collect and store learning data in real-time. Performance Analysis Module: Provides performance analysis based on collected data. Participation Tracking Module: Monitor student participation in learning activities. User Interface: Intuitive and responsive interface to ensure good user accessibility. Integration with commonly used online learning platforms. The next stage is testing the prototype with Stakeholder Acceptance. The prototype has been tested by various stakeholders, including lecturers, students and administrators. Positive feedback regarding interface clarity and system functionality.</w:t>
      </w:r>
    </w:p>
    <w:p w14:paraId="5618346A" w14:textId="56F414EE" w:rsidR="00D26E94" w:rsidRDefault="006D741E" w:rsidP="00D26E94">
      <w:pPr>
        <w:ind w:firstLine="720"/>
        <w:jc w:val="both"/>
        <w:rPr>
          <w:sz w:val="22"/>
          <w:szCs w:val="22"/>
        </w:rPr>
      </w:pPr>
      <w:r w:rsidRPr="006D741E">
        <w:rPr>
          <w:sz w:val="22"/>
          <w:szCs w:val="22"/>
        </w:rPr>
        <w:t>The initial phase of implementation is data integration by integrating data from various sources, including existing learning management systems. The use of API technology makes it easier to exchange data between platforms. System Security includes security measures that have been implemented, including data encryption and role-based access control. User Training with Effective Training. The training sessions received positive feedback from users. Instructions for using the system are well organized and can be accessed online. Initial Evaluation is Conformity to Needs. This system has proven to be in line with stakeholder needs as identified at an early stage. System Performance is system performance that meets expectations, with fast response times and good scalability. Some implementation challenges, technical obstacles were overcome by updating the infrastructure and proactive problem solving. Active stakeholder involvement helps overcome resistance to change.</w:t>
      </w:r>
    </w:p>
    <w:p w14:paraId="6CFFFC0D" w14:textId="6E9B3DF4" w:rsidR="00096633" w:rsidRPr="00096633" w:rsidRDefault="006D741E" w:rsidP="00D26E94">
      <w:pPr>
        <w:ind w:firstLine="720"/>
        <w:jc w:val="both"/>
        <w:rPr>
          <w:sz w:val="22"/>
          <w:szCs w:val="22"/>
        </w:rPr>
      </w:pPr>
      <w:r w:rsidRPr="006D741E">
        <w:rPr>
          <w:sz w:val="22"/>
          <w:szCs w:val="22"/>
        </w:rPr>
        <w:t>Several positive impacts on learning. This system makes a positive contribution to the learning experience after the COVID-19 pandemic. Stakeholder engagement. Involvement of faculty, students, and administrators throughout the development process ensures the system meets their needs. Persist not to change. The flexible design of the blueprint allows the system to adapt quickly to changing learning conditions. Plan full implementation of the system across the institution with scale and sustainability in mind. Continuous development with constant feedback gathering will guide continuous development and improvement. The results of this development can be published to contribute to research and development in the field of post-pandemic educational technology.</w:t>
      </w:r>
    </w:p>
    <w:p w14:paraId="4E3B9103" w14:textId="0CCC5D02" w:rsidR="00096633" w:rsidRDefault="006D741E" w:rsidP="00096633">
      <w:pPr>
        <w:ind w:firstLine="720"/>
        <w:jc w:val="both"/>
        <w:rPr>
          <w:sz w:val="22"/>
          <w:szCs w:val="22"/>
        </w:rPr>
      </w:pPr>
      <w:r w:rsidRPr="006D741E">
        <w:rPr>
          <w:sz w:val="22"/>
          <w:szCs w:val="22"/>
        </w:rPr>
        <w:t>With these results and discussions, it is hoped that the information system blueprint can be implemented successfully to monitor the learning process after the COVID-19 pandemic, support continuous improvement, and have a positive impact on the quality of education</w:t>
      </w:r>
      <w:r w:rsidR="00096633" w:rsidRPr="00096633">
        <w:rPr>
          <w:sz w:val="22"/>
          <w:szCs w:val="22"/>
        </w:rPr>
        <w:t>.</w:t>
      </w:r>
    </w:p>
    <w:p w14:paraId="7787C6E0" w14:textId="4D1D349D" w:rsidR="00481E6B" w:rsidRPr="00B052DD" w:rsidRDefault="00481E6B" w:rsidP="00481E6B">
      <w:pPr>
        <w:jc w:val="both"/>
        <w:rPr>
          <w:sz w:val="22"/>
          <w:szCs w:val="22"/>
          <w:lang w:val="id-ID"/>
        </w:rPr>
      </w:pPr>
    </w:p>
    <w:p w14:paraId="2EE56E6C" w14:textId="77777777" w:rsidR="00481E6B" w:rsidRPr="00481E6B" w:rsidRDefault="00481E6B" w:rsidP="00D642E5">
      <w:pPr>
        <w:rPr>
          <w:bCs/>
          <w:sz w:val="22"/>
          <w:szCs w:val="22"/>
          <w:lang w:val="id-ID"/>
        </w:rPr>
      </w:pPr>
    </w:p>
    <w:p w14:paraId="32C9E034" w14:textId="77777777" w:rsidR="00904D6D" w:rsidRPr="00BA6285" w:rsidRDefault="00271D65" w:rsidP="00481E6B">
      <w:pPr>
        <w:rPr>
          <w:b/>
          <w:bCs/>
          <w:sz w:val="22"/>
          <w:szCs w:val="22"/>
        </w:rPr>
      </w:pPr>
      <w:r w:rsidRPr="00BA6285">
        <w:rPr>
          <w:b/>
          <w:bCs/>
          <w:sz w:val="22"/>
          <w:szCs w:val="22"/>
        </w:rPr>
        <w:t>CONCLUSION</w:t>
      </w:r>
    </w:p>
    <w:p w14:paraId="2DE51783" w14:textId="48C3C2DF" w:rsidR="00BD354D" w:rsidRDefault="00BD354D" w:rsidP="004C4925">
      <w:pPr>
        <w:jc w:val="both"/>
        <w:rPr>
          <w:sz w:val="22"/>
          <w:szCs w:val="22"/>
        </w:rPr>
      </w:pPr>
    </w:p>
    <w:p w14:paraId="1917CD64" w14:textId="71B17E9F" w:rsidR="00BD354D" w:rsidRPr="00A655AB" w:rsidRDefault="006D741E" w:rsidP="00625AEA">
      <w:pPr>
        <w:ind w:firstLine="720"/>
        <w:jc w:val="both"/>
        <w:rPr>
          <w:sz w:val="22"/>
          <w:szCs w:val="22"/>
        </w:rPr>
      </w:pPr>
      <w:r w:rsidRPr="006D741E">
        <w:rPr>
          <w:sz w:val="22"/>
          <w:szCs w:val="22"/>
        </w:rPr>
        <w:t xml:space="preserve">Based on the results and discussion of the development of the blueprint, it shows that this system design is able to provide a solution that is strong and in accordance with stakeholder needs. This information system blueprint has succeeded in meeting the needs of stakeholders, namely lecturers, students and administrators. This user effectiveness has succeeded in increasing user understanding and skills regarding system use through an intuitive interface and system features that are easy for users to adapt. Positive contributions to the learning process by implementing the initial phase have proven that this system can make a positive contribution to the post-pandemic learning </w:t>
      </w:r>
      <w:r w:rsidRPr="006D741E">
        <w:rPr>
          <w:sz w:val="22"/>
          <w:szCs w:val="22"/>
        </w:rPr>
        <w:lastRenderedPageBreak/>
        <w:t xml:space="preserve">process. By providing real-time performance analysis and student participation information, this system supports more informed decision making. Flexibility to changes in the learning environment with a flexible blueprint design allows the system to easily adapt to changing learning conditions. This is very important considering the uncertainty that is still occurring in the world of education after the pandemic. Challenges and solutions </w:t>
      </w:r>
      <w:proofErr w:type="gramStart"/>
      <w:r w:rsidRPr="006D741E">
        <w:rPr>
          <w:sz w:val="22"/>
          <w:szCs w:val="22"/>
        </w:rPr>
        <w:t>The</w:t>
      </w:r>
      <w:proofErr w:type="gramEnd"/>
      <w:r w:rsidRPr="006D741E">
        <w:rPr>
          <w:sz w:val="22"/>
          <w:szCs w:val="22"/>
        </w:rPr>
        <w:t xml:space="preserve"> development process faces several challenges, such as technical obstacles and resistance to change. However, with a proactive approach and active involvement of stakeholders, many challenges can be addressed effectively. The next step involves the full implementation of this system across all educational institutions with attention to scale and sustainability. Continuous evaluation and feedback from users will guide continued development. Contributing to the development of educational technology by developing this blueprint can contribute to research and development in the field of educational technology after the pandemic. By sharing findings and experiences, we can enrich our insights in an effort to create a more effective and adaptive learning environment.</w:t>
      </w:r>
    </w:p>
    <w:p w14:paraId="496296D4" w14:textId="77777777" w:rsidR="00BD354D" w:rsidRPr="00134CC4" w:rsidRDefault="00BD354D" w:rsidP="00481E6B">
      <w:pPr>
        <w:ind w:firstLine="720"/>
        <w:jc w:val="both"/>
        <w:rPr>
          <w:sz w:val="22"/>
          <w:szCs w:val="22"/>
        </w:rPr>
      </w:pPr>
    </w:p>
    <w:p w14:paraId="753DFB6E" w14:textId="77777777" w:rsidR="00113CE6" w:rsidRPr="00134CC4" w:rsidRDefault="00113CE6" w:rsidP="00D642E5">
      <w:pPr>
        <w:jc w:val="both"/>
        <w:rPr>
          <w:sz w:val="22"/>
          <w:szCs w:val="22"/>
        </w:rPr>
      </w:pPr>
    </w:p>
    <w:p w14:paraId="65E3962E" w14:textId="77777777" w:rsidR="0076561F" w:rsidRPr="00BA6285" w:rsidRDefault="0076561F" w:rsidP="00481E6B">
      <w:pPr>
        <w:rPr>
          <w:b/>
          <w:sz w:val="22"/>
          <w:szCs w:val="22"/>
        </w:rPr>
      </w:pPr>
      <w:r w:rsidRPr="00BA6285">
        <w:rPr>
          <w:b/>
          <w:sz w:val="22"/>
          <w:szCs w:val="22"/>
        </w:rPr>
        <w:t>SUGGESTION</w:t>
      </w:r>
    </w:p>
    <w:p w14:paraId="67056037" w14:textId="77777777" w:rsidR="0076561F" w:rsidRPr="00134CC4" w:rsidRDefault="0076561F" w:rsidP="00D642E5">
      <w:pPr>
        <w:jc w:val="center"/>
        <w:rPr>
          <w:sz w:val="22"/>
          <w:szCs w:val="22"/>
        </w:rPr>
      </w:pPr>
    </w:p>
    <w:p w14:paraId="0741DCC4" w14:textId="0A38C773" w:rsidR="00BD354D" w:rsidRPr="00134CC4" w:rsidRDefault="006D741E" w:rsidP="006D741E">
      <w:pPr>
        <w:ind w:firstLine="709"/>
        <w:jc w:val="both"/>
        <w:rPr>
          <w:sz w:val="22"/>
          <w:szCs w:val="22"/>
          <w:lang w:eastAsia="id-ID"/>
        </w:rPr>
      </w:pPr>
      <w:r w:rsidRPr="006D741E">
        <w:rPr>
          <w:sz w:val="22"/>
          <w:szCs w:val="22"/>
          <w:lang w:eastAsia="id-ID"/>
        </w:rPr>
        <w:t>As a suggestion for future development of an information system blueprint for monitoring the learning process after the COVID-19 pandemic, we always strive to take strategic and effective steps in facing the current dynamics of education. By continuing to follow developments and adapting the design according to evolving needs, this system has the potential to provide a sustainable positive impact in improving the quality of learning in the future.</w:t>
      </w:r>
    </w:p>
    <w:p w14:paraId="285ECB8A" w14:textId="77777777" w:rsidR="00DE7ADC" w:rsidRPr="00134CC4" w:rsidRDefault="00DE7ADC" w:rsidP="00D642E5">
      <w:pPr>
        <w:jc w:val="both"/>
        <w:rPr>
          <w:sz w:val="22"/>
          <w:szCs w:val="22"/>
          <w:lang w:eastAsia="id-ID"/>
        </w:rPr>
      </w:pPr>
    </w:p>
    <w:p w14:paraId="57B32F5E" w14:textId="77777777" w:rsidR="00CE14DE" w:rsidRPr="00DD416F" w:rsidRDefault="00CE14DE" w:rsidP="00D642E5">
      <w:pPr>
        <w:jc w:val="both"/>
        <w:rPr>
          <w:b/>
          <w:bCs/>
          <w:sz w:val="22"/>
          <w:szCs w:val="22"/>
          <w:lang w:eastAsia="id-ID"/>
        </w:rPr>
      </w:pPr>
    </w:p>
    <w:p w14:paraId="102D18DF" w14:textId="77777777" w:rsidR="00DE7ADC" w:rsidRDefault="00DE7ADC" w:rsidP="00481E6B">
      <w:pPr>
        <w:rPr>
          <w:b/>
          <w:bCs/>
          <w:sz w:val="22"/>
          <w:szCs w:val="22"/>
          <w:lang w:val="id-ID"/>
        </w:rPr>
      </w:pPr>
      <w:r w:rsidRPr="00DD416F">
        <w:rPr>
          <w:b/>
          <w:bCs/>
          <w:sz w:val="22"/>
          <w:szCs w:val="22"/>
        </w:rPr>
        <w:t>BIBLIOGRAPHY</w:t>
      </w:r>
    </w:p>
    <w:p w14:paraId="2D1FCFD2" w14:textId="77777777" w:rsidR="005316F3" w:rsidRPr="005316F3" w:rsidRDefault="005316F3" w:rsidP="00481E6B">
      <w:pPr>
        <w:rPr>
          <w:b/>
          <w:bCs/>
          <w:sz w:val="22"/>
          <w:szCs w:val="22"/>
          <w:lang w:val="id-ID"/>
        </w:rPr>
      </w:pPr>
    </w:p>
    <w:p w14:paraId="7DB18469" w14:textId="442CF608" w:rsidR="00072797" w:rsidRPr="00072797" w:rsidRDefault="006D741E" w:rsidP="00EB4BBD">
      <w:pPr>
        <w:widowControl w:val="0"/>
        <w:autoSpaceDE w:val="0"/>
        <w:autoSpaceDN w:val="0"/>
        <w:adjustRightInd w:val="0"/>
        <w:ind w:left="48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072797" w:rsidRPr="00072797">
        <w:rPr>
          <w:noProof/>
          <w:sz w:val="22"/>
          <w:szCs w:val="24"/>
        </w:rPr>
        <w:t xml:space="preserve">Ariesto, E., Malahina, U., Clarissa, A., Langoday, H., Studi, P., Informatika, T., &amp; Kupang, S. U. (2021). </w:t>
      </w:r>
      <w:r w:rsidR="00072797" w:rsidRPr="00072797">
        <w:rPr>
          <w:i/>
          <w:iCs/>
          <w:noProof/>
          <w:sz w:val="22"/>
          <w:szCs w:val="24"/>
        </w:rPr>
        <w:t>Analisa Kebutuhan Pengembangan Model System</w:t>
      </w:r>
      <w:r w:rsidR="00072797" w:rsidRPr="00072797">
        <w:rPr>
          <w:noProof/>
          <w:sz w:val="22"/>
          <w:szCs w:val="24"/>
        </w:rPr>
        <w:t xml:space="preserve">. </w:t>
      </w:r>
      <w:r w:rsidR="00072797" w:rsidRPr="00072797">
        <w:rPr>
          <w:i/>
          <w:iCs/>
          <w:noProof/>
          <w:sz w:val="22"/>
          <w:szCs w:val="24"/>
        </w:rPr>
        <w:t>5</w:t>
      </w:r>
      <w:r w:rsidR="00072797" w:rsidRPr="00072797">
        <w:rPr>
          <w:noProof/>
          <w:sz w:val="22"/>
          <w:szCs w:val="24"/>
        </w:rPr>
        <w:t>(1).</w:t>
      </w:r>
    </w:p>
    <w:p w14:paraId="1E319D51"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Cahyaningrum, Y. (2023a). Analisis Tata Kelola Arsitektur dan Perancangan Sistem Enterprise dalam Ekspedisi Barang Pada Perusahaan Logistik. </w:t>
      </w:r>
      <w:r w:rsidRPr="00072797">
        <w:rPr>
          <w:i/>
          <w:iCs/>
          <w:noProof/>
          <w:sz w:val="22"/>
          <w:szCs w:val="24"/>
        </w:rPr>
        <w:t>Jurnal Rekayasa Sistem Informasi Dan Teknologi (JRSIT)</w:t>
      </w:r>
      <w:r w:rsidRPr="00072797">
        <w:rPr>
          <w:noProof/>
          <w:sz w:val="22"/>
          <w:szCs w:val="24"/>
        </w:rPr>
        <w:t xml:space="preserve">, </w:t>
      </w:r>
      <w:r w:rsidRPr="00072797">
        <w:rPr>
          <w:i/>
          <w:iCs/>
          <w:noProof/>
          <w:sz w:val="22"/>
          <w:szCs w:val="24"/>
        </w:rPr>
        <w:t>1</w:t>
      </w:r>
      <w:r w:rsidRPr="00072797">
        <w:rPr>
          <w:noProof/>
          <w:sz w:val="22"/>
          <w:szCs w:val="24"/>
        </w:rPr>
        <w:t>(2), 118–122.</w:t>
      </w:r>
    </w:p>
    <w:p w14:paraId="706CF8ED"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Cahyaningrum, Y. (2023b). Penerapan Artificial Intelligence Dalam Dunia Pendidikan. </w:t>
      </w:r>
      <w:r w:rsidRPr="00072797">
        <w:rPr>
          <w:i/>
          <w:iCs/>
          <w:noProof/>
          <w:sz w:val="22"/>
          <w:szCs w:val="24"/>
        </w:rPr>
        <w:t>Amplifier</w:t>
      </w:r>
      <w:r w:rsidRPr="00072797">
        <w:rPr>
          <w:noProof/>
          <w:sz w:val="22"/>
          <w:szCs w:val="24"/>
        </w:rPr>
        <w:t xml:space="preserve">, </w:t>
      </w:r>
      <w:r w:rsidRPr="00072797">
        <w:rPr>
          <w:i/>
          <w:iCs/>
          <w:noProof/>
          <w:sz w:val="22"/>
          <w:szCs w:val="24"/>
        </w:rPr>
        <w:t>13</w:t>
      </w:r>
      <w:r w:rsidRPr="00072797">
        <w:rPr>
          <w:noProof/>
          <w:sz w:val="22"/>
          <w:szCs w:val="24"/>
        </w:rPr>
        <w:t>(2), 62–68. https://stuvia.id/tips-belajar/artificial-intelligence-dalam-pendidikan/</w:t>
      </w:r>
    </w:p>
    <w:p w14:paraId="1F968766"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Cahyaningrum, Y., Suryono, S., &amp; Warsito, B. (2021). Fuzzy-Expert System for Indicator and Quality Evaluation of Teaching and Learning Processes Online Study Programs. </w:t>
      </w:r>
      <w:r w:rsidRPr="00072797">
        <w:rPr>
          <w:i/>
          <w:iCs/>
          <w:noProof/>
          <w:sz w:val="22"/>
          <w:szCs w:val="24"/>
        </w:rPr>
        <w:t>E3S Web of Conferences</w:t>
      </w:r>
      <w:r w:rsidRPr="00072797">
        <w:rPr>
          <w:noProof/>
          <w:sz w:val="22"/>
          <w:szCs w:val="24"/>
        </w:rPr>
        <w:t xml:space="preserve">, </w:t>
      </w:r>
      <w:r w:rsidRPr="00072797">
        <w:rPr>
          <w:i/>
          <w:iCs/>
          <w:noProof/>
          <w:sz w:val="22"/>
          <w:szCs w:val="24"/>
        </w:rPr>
        <w:t>317</w:t>
      </w:r>
      <w:r w:rsidRPr="00072797">
        <w:rPr>
          <w:noProof/>
          <w:sz w:val="22"/>
          <w:szCs w:val="24"/>
        </w:rPr>
        <w:t>, 05021. https://doi.org/10.1051/e3sconf/202131705021</w:t>
      </w:r>
    </w:p>
    <w:p w14:paraId="6CD50BB9"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Costa, G., Arroyo, O., Rueda, P., &amp; Briones, A. (2023). A ventilation early warning system (VEWS) for diaphanous workspaces considering COVID-19 and future pandemics scenarios. </w:t>
      </w:r>
      <w:r w:rsidRPr="00072797">
        <w:rPr>
          <w:i/>
          <w:iCs/>
          <w:noProof/>
          <w:sz w:val="22"/>
          <w:szCs w:val="24"/>
        </w:rPr>
        <w:t>Heliyon</w:t>
      </w:r>
      <w:r w:rsidRPr="00072797">
        <w:rPr>
          <w:noProof/>
          <w:sz w:val="22"/>
          <w:szCs w:val="24"/>
        </w:rPr>
        <w:t xml:space="preserve">, </w:t>
      </w:r>
      <w:r w:rsidRPr="00072797">
        <w:rPr>
          <w:i/>
          <w:iCs/>
          <w:noProof/>
          <w:sz w:val="22"/>
          <w:szCs w:val="24"/>
        </w:rPr>
        <w:t>9</w:t>
      </w:r>
      <w:r w:rsidRPr="00072797">
        <w:rPr>
          <w:noProof/>
          <w:sz w:val="22"/>
          <w:szCs w:val="24"/>
        </w:rPr>
        <w:t>(3), e14640. https://doi.org/10.1016/j.heliyon.2023.e14640</w:t>
      </w:r>
    </w:p>
    <w:p w14:paraId="442FB6D6"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Ewiss, M. A. Z. (2021). Roadmap for Education Development Post COVID-19. </w:t>
      </w:r>
      <w:r w:rsidRPr="00072797">
        <w:rPr>
          <w:i/>
          <w:iCs/>
          <w:noProof/>
          <w:sz w:val="22"/>
          <w:szCs w:val="24"/>
        </w:rPr>
        <w:t>The Educational Review, USA</w:t>
      </w:r>
      <w:r w:rsidRPr="00072797">
        <w:rPr>
          <w:noProof/>
          <w:sz w:val="22"/>
          <w:szCs w:val="24"/>
        </w:rPr>
        <w:t xml:space="preserve">, </w:t>
      </w:r>
      <w:r w:rsidRPr="00072797">
        <w:rPr>
          <w:i/>
          <w:iCs/>
          <w:noProof/>
          <w:sz w:val="22"/>
          <w:szCs w:val="24"/>
        </w:rPr>
        <w:t>5</w:t>
      </w:r>
      <w:r w:rsidRPr="00072797">
        <w:rPr>
          <w:noProof/>
          <w:sz w:val="22"/>
          <w:szCs w:val="24"/>
        </w:rPr>
        <w:t>(3), 57–69. https://doi.org/10.26855/er.2021.03.005</w:t>
      </w:r>
    </w:p>
    <w:p w14:paraId="758608AE"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Fitrisia Munir, Irfan Nursetiawan, Yuniana Cahyaningrum, Hermi Oppier, S. S. (2023). Kebijakan Publik di Era Digital. In </w:t>
      </w:r>
      <w:r w:rsidRPr="00072797">
        <w:rPr>
          <w:i/>
          <w:iCs/>
          <w:noProof/>
          <w:sz w:val="22"/>
          <w:szCs w:val="24"/>
        </w:rPr>
        <w:t>CV. Karsa Cendekia</w:t>
      </w:r>
      <w:r w:rsidRPr="00072797">
        <w:rPr>
          <w:noProof/>
          <w:sz w:val="22"/>
          <w:szCs w:val="24"/>
        </w:rPr>
        <w:t>. http://www.nber.org/papers/w16019</w:t>
      </w:r>
    </w:p>
    <w:p w14:paraId="3207EC5B"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Galanakis, C. M., Rizou, M., Aldawoud, T. M. S., Ucak, I., &amp; Rowan, N. J. (2021). Innovations and technology disruptions in the food sector within the COVID-19 pandemic and post-lockdown era. </w:t>
      </w:r>
      <w:r w:rsidRPr="00072797">
        <w:rPr>
          <w:i/>
          <w:iCs/>
          <w:noProof/>
          <w:sz w:val="22"/>
          <w:szCs w:val="24"/>
        </w:rPr>
        <w:t>Trends in Food Science and Technology</w:t>
      </w:r>
      <w:r w:rsidRPr="00072797">
        <w:rPr>
          <w:noProof/>
          <w:sz w:val="22"/>
          <w:szCs w:val="24"/>
        </w:rPr>
        <w:t xml:space="preserve">, </w:t>
      </w:r>
      <w:r w:rsidRPr="00072797">
        <w:rPr>
          <w:i/>
          <w:iCs/>
          <w:noProof/>
          <w:sz w:val="22"/>
          <w:szCs w:val="24"/>
        </w:rPr>
        <w:t>110</w:t>
      </w:r>
      <w:r w:rsidRPr="00072797">
        <w:rPr>
          <w:noProof/>
          <w:sz w:val="22"/>
          <w:szCs w:val="24"/>
        </w:rPr>
        <w:t>(January), 193–200. https://doi.org/10.1016/j.tifs.2021.02.002</w:t>
      </w:r>
    </w:p>
    <w:p w14:paraId="75031D52"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Lutchmansingh, D. D., Knauert, M. P., Antin-Ozerkis, D. E., Chupp, G., Cohn, L., Dela Cruz, C. S., Ferrante, L. E., Herzog, E. L., Koff, J., Rochester, C. L., Ryu, C., Singh, I., Tickoo, M., Winks, V., Gulati, M., &amp; Possick, J. D. (2021). A Clinic Blueprint for Post-Coronavirus Disease 2019 RECOVERY: Learning From the Past, Looking to the Future. </w:t>
      </w:r>
      <w:r w:rsidRPr="00072797">
        <w:rPr>
          <w:i/>
          <w:iCs/>
          <w:noProof/>
          <w:sz w:val="22"/>
          <w:szCs w:val="24"/>
        </w:rPr>
        <w:t>Chest</w:t>
      </w:r>
      <w:r w:rsidRPr="00072797">
        <w:rPr>
          <w:noProof/>
          <w:sz w:val="22"/>
          <w:szCs w:val="24"/>
        </w:rPr>
        <w:t xml:space="preserve">, </w:t>
      </w:r>
      <w:r w:rsidRPr="00072797">
        <w:rPr>
          <w:i/>
          <w:iCs/>
          <w:noProof/>
          <w:sz w:val="22"/>
          <w:szCs w:val="24"/>
        </w:rPr>
        <w:t>159</w:t>
      </w:r>
      <w:r w:rsidRPr="00072797">
        <w:rPr>
          <w:noProof/>
          <w:sz w:val="22"/>
          <w:szCs w:val="24"/>
        </w:rPr>
        <w:t xml:space="preserve">(3), 949–958. </w:t>
      </w:r>
      <w:r w:rsidRPr="00072797">
        <w:rPr>
          <w:noProof/>
          <w:sz w:val="22"/>
          <w:szCs w:val="24"/>
        </w:rPr>
        <w:lastRenderedPageBreak/>
        <w:t>https://doi.org/10.1016/j.chest.2020.10.067</w:t>
      </w:r>
    </w:p>
    <w:p w14:paraId="1388D0D2"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Pérez-Sanagustín, M., Kotorov, I., Teixeira, A., Mansilla, F., Broisin, J., Alario-Hoyos, C., Jerez, Ó., Teixeira Pinto, M. D. C., García, B., Delgado Kloos, C., Morales, M., Solarte, M., Oliva-Córdova, L. M., &amp; Lopez, A. H. G. (2022). A Competency Framework for Teaching and Learning Innovation Centers for the 21st Century: Anticipating the Post-COVID-19 Age. </w:t>
      </w:r>
      <w:r w:rsidRPr="00072797">
        <w:rPr>
          <w:i/>
          <w:iCs/>
          <w:noProof/>
          <w:sz w:val="22"/>
          <w:szCs w:val="24"/>
        </w:rPr>
        <w:t>Electronics (Switzerland)</w:t>
      </w:r>
      <w:r w:rsidRPr="00072797">
        <w:rPr>
          <w:noProof/>
          <w:sz w:val="22"/>
          <w:szCs w:val="24"/>
        </w:rPr>
        <w:t xml:space="preserve">, </w:t>
      </w:r>
      <w:r w:rsidRPr="00072797">
        <w:rPr>
          <w:i/>
          <w:iCs/>
          <w:noProof/>
          <w:sz w:val="22"/>
          <w:szCs w:val="24"/>
        </w:rPr>
        <w:t>11</w:t>
      </w:r>
      <w:r w:rsidRPr="00072797">
        <w:rPr>
          <w:noProof/>
          <w:sz w:val="22"/>
          <w:szCs w:val="24"/>
        </w:rPr>
        <w:t>(3). https://doi.org/10.3390/electronics11030413</w:t>
      </w:r>
    </w:p>
    <w:p w14:paraId="02BFCFDA"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Susanti, W., &amp; Putri, R. N. (2020). Penerapan Cloud Computing Sebagai Media Pembelajaran Berbasis Online Masa Pandemi Covid-19. </w:t>
      </w:r>
      <w:r w:rsidRPr="00072797">
        <w:rPr>
          <w:i/>
          <w:iCs/>
          <w:noProof/>
          <w:sz w:val="22"/>
          <w:szCs w:val="24"/>
        </w:rPr>
        <w:t>JOISIE (Journal Of Information Systems And Informatics Engineering)</w:t>
      </w:r>
      <w:r w:rsidRPr="00072797">
        <w:rPr>
          <w:noProof/>
          <w:sz w:val="22"/>
          <w:szCs w:val="24"/>
        </w:rPr>
        <w:t xml:space="preserve">, </w:t>
      </w:r>
      <w:r w:rsidRPr="00072797">
        <w:rPr>
          <w:i/>
          <w:iCs/>
          <w:noProof/>
          <w:sz w:val="22"/>
          <w:szCs w:val="24"/>
        </w:rPr>
        <w:t>4</w:t>
      </w:r>
      <w:r w:rsidRPr="00072797">
        <w:rPr>
          <w:noProof/>
          <w:sz w:val="22"/>
          <w:szCs w:val="24"/>
        </w:rPr>
        <w:t>(1), 56. https://doi.org/10.35145/joisie.v4i1.663</w:t>
      </w:r>
    </w:p>
    <w:p w14:paraId="13957D38"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Udayana, I. P. A. E. D., Kherismawati, N. P. E., &amp; Sudipa, I. G. I. (2022). Detection of Student Drowsiness Using Ensemble Regression Trees in Online Learning During a COVID-19 Pandemic. </w:t>
      </w:r>
      <w:r w:rsidRPr="00072797">
        <w:rPr>
          <w:i/>
          <w:iCs/>
          <w:noProof/>
          <w:sz w:val="22"/>
          <w:szCs w:val="24"/>
        </w:rPr>
        <w:t>Telematika</w:t>
      </w:r>
      <w:r w:rsidRPr="00072797">
        <w:rPr>
          <w:noProof/>
          <w:sz w:val="22"/>
          <w:szCs w:val="24"/>
        </w:rPr>
        <w:t xml:space="preserve">, </w:t>
      </w:r>
      <w:r w:rsidRPr="00072797">
        <w:rPr>
          <w:i/>
          <w:iCs/>
          <w:noProof/>
          <w:sz w:val="22"/>
          <w:szCs w:val="24"/>
        </w:rPr>
        <w:t>19</w:t>
      </w:r>
      <w:r w:rsidRPr="00072797">
        <w:rPr>
          <w:noProof/>
          <w:sz w:val="22"/>
          <w:szCs w:val="24"/>
        </w:rPr>
        <w:t>(2), 229. https://doi.org/10.31315/telematika.v19i2.7044</w:t>
      </w:r>
    </w:p>
    <w:p w14:paraId="68F18876"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Wang, Y. M., Wei, C. L., Chen, W. J., &amp; Wang, Y. S. (2023). Revisiting the E-Learning Systems Success Model in the Post-COVID-19 Age: The Role of Monitoring Quality. </w:t>
      </w:r>
      <w:r w:rsidRPr="00072797">
        <w:rPr>
          <w:i/>
          <w:iCs/>
          <w:noProof/>
          <w:sz w:val="22"/>
          <w:szCs w:val="24"/>
        </w:rPr>
        <w:t>International Journal of Human-Computer Interaction</w:t>
      </w:r>
      <w:r w:rsidRPr="00072797">
        <w:rPr>
          <w:noProof/>
          <w:sz w:val="22"/>
          <w:szCs w:val="24"/>
        </w:rPr>
        <w:t xml:space="preserve">, </w:t>
      </w:r>
      <w:r w:rsidRPr="00072797">
        <w:rPr>
          <w:i/>
          <w:iCs/>
          <w:noProof/>
          <w:sz w:val="22"/>
          <w:szCs w:val="24"/>
        </w:rPr>
        <w:t>0</w:t>
      </w:r>
      <w:r w:rsidRPr="00072797">
        <w:rPr>
          <w:noProof/>
          <w:sz w:val="22"/>
          <w:szCs w:val="24"/>
        </w:rPr>
        <w:t>(0), 1–16. https://doi.org/10.1080/10447318.2023.2231278</w:t>
      </w:r>
    </w:p>
    <w:p w14:paraId="150D13C7" w14:textId="77777777" w:rsidR="00072797" w:rsidRPr="00072797" w:rsidRDefault="00072797" w:rsidP="00EB4BBD">
      <w:pPr>
        <w:widowControl w:val="0"/>
        <w:autoSpaceDE w:val="0"/>
        <w:autoSpaceDN w:val="0"/>
        <w:adjustRightInd w:val="0"/>
        <w:ind w:left="480" w:hanging="480"/>
        <w:jc w:val="both"/>
        <w:rPr>
          <w:noProof/>
          <w:sz w:val="22"/>
          <w:szCs w:val="24"/>
        </w:rPr>
      </w:pPr>
      <w:r w:rsidRPr="00072797">
        <w:rPr>
          <w:noProof/>
          <w:sz w:val="22"/>
          <w:szCs w:val="24"/>
        </w:rPr>
        <w:t xml:space="preserve">Yuniana Cahyaningrum, Yulifda Elin Yuspita, Diana, Asrul Sani, Yudo Devianto, Ragel Trisudarmo, I Kadek Arya Sugianta, Heru Budianto, Noni Rahmawati, Meidar Hadi Avizenna, Novi Aryani Fitri, Darmawan Aditama, Miftahul Jannah, Y. A. E. (2023). </w:t>
      </w:r>
      <w:r w:rsidRPr="00072797">
        <w:rPr>
          <w:i/>
          <w:iCs/>
          <w:noProof/>
          <w:sz w:val="22"/>
          <w:szCs w:val="24"/>
        </w:rPr>
        <w:t>Arsitektur dan Organisasi Komputer</w:t>
      </w:r>
      <w:r w:rsidRPr="00072797">
        <w:rPr>
          <w:noProof/>
          <w:sz w:val="22"/>
          <w:szCs w:val="24"/>
        </w:rPr>
        <w:t xml:space="preserve"> (M. M. Artika Arsita, S.Kom. (ed.); 1st ed.). PT Penamuda Media.</w:t>
      </w:r>
    </w:p>
    <w:p w14:paraId="31BC64E7" w14:textId="77777777" w:rsidR="00072797" w:rsidRPr="00072797" w:rsidRDefault="00072797" w:rsidP="00EB4BBD">
      <w:pPr>
        <w:widowControl w:val="0"/>
        <w:autoSpaceDE w:val="0"/>
        <w:autoSpaceDN w:val="0"/>
        <w:adjustRightInd w:val="0"/>
        <w:ind w:left="480" w:hanging="480"/>
        <w:jc w:val="both"/>
        <w:rPr>
          <w:noProof/>
          <w:sz w:val="22"/>
        </w:rPr>
      </w:pPr>
      <w:r w:rsidRPr="00072797">
        <w:rPr>
          <w:noProof/>
          <w:sz w:val="22"/>
          <w:szCs w:val="24"/>
        </w:rPr>
        <w:t xml:space="preserve">Yuniana Cahyaningrum, F. R. A. (2023). </w:t>
      </w:r>
      <w:r w:rsidRPr="00072797">
        <w:rPr>
          <w:i/>
          <w:iCs/>
          <w:noProof/>
          <w:sz w:val="22"/>
          <w:szCs w:val="24"/>
        </w:rPr>
        <w:t>SYSTEMATIC LITERATURE REVIEW DALAM BIDANG KECERDASAN BUATAN SYSTEMATIC LITERATURE REVIEW IN THE FIELD OF ARTIFICIAL</w:t>
      </w:r>
      <w:r w:rsidRPr="00072797">
        <w:rPr>
          <w:noProof/>
          <w:sz w:val="22"/>
          <w:szCs w:val="24"/>
        </w:rPr>
        <w:t xml:space="preserve">. </w:t>
      </w:r>
      <w:r w:rsidRPr="00072797">
        <w:rPr>
          <w:i/>
          <w:iCs/>
          <w:noProof/>
          <w:sz w:val="22"/>
          <w:szCs w:val="24"/>
        </w:rPr>
        <w:t>2</w:t>
      </w:r>
      <w:r w:rsidRPr="00072797">
        <w:rPr>
          <w:noProof/>
          <w:sz w:val="22"/>
          <w:szCs w:val="24"/>
        </w:rPr>
        <w:t>(3), 3–6.</w:t>
      </w:r>
    </w:p>
    <w:p w14:paraId="73C59003" w14:textId="714788CD" w:rsidR="005316F3" w:rsidRPr="00FE5797" w:rsidRDefault="006D741E" w:rsidP="00EB4BBD">
      <w:pPr>
        <w:tabs>
          <w:tab w:val="left" w:pos="284"/>
        </w:tabs>
        <w:jc w:val="both"/>
        <w:rPr>
          <w:sz w:val="22"/>
          <w:szCs w:val="22"/>
        </w:rPr>
      </w:pPr>
      <w:r>
        <w:rPr>
          <w:sz w:val="22"/>
          <w:szCs w:val="22"/>
        </w:rPr>
        <w:fldChar w:fldCharType="end"/>
      </w:r>
    </w:p>
    <w:p w14:paraId="7D32CBD5" w14:textId="77777777" w:rsidR="005316F3" w:rsidRPr="005316F3" w:rsidRDefault="005316F3" w:rsidP="00481E6B">
      <w:pPr>
        <w:rPr>
          <w:b/>
          <w:bCs/>
          <w:sz w:val="22"/>
          <w:szCs w:val="22"/>
          <w:lang w:val="id-ID"/>
        </w:rPr>
      </w:pPr>
    </w:p>
    <w:sectPr w:rsidR="005316F3" w:rsidRPr="005316F3" w:rsidSect="001E5F4E">
      <w:type w:val="continuous"/>
      <w:pgSz w:w="11907" w:h="16840" w:code="9"/>
      <w:pgMar w:top="1440" w:right="1440" w:bottom="1440" w:left="1701"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9B430" w14:textId="77777777" w:rsidR="00686CAE" w:rsidRDefault="00686CAE">
      <w:r>
        <w:separator/>
      </w:r>
    </w:p>
  </w:endnote>
  <w:endnote w:type="continuationSeparator" w:id="0">
    <w:p w14:paraId="720AE889" w14:textId="77777777" w:rsidR="00686CAE" w:rsidRDefault="0068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default"/>
    <w:sig w:usb0="00000000" w:usb1="00000000"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6175" w14:textId="77777777" w:rsidR="00097958" w:rsidRPr="00D23B5E" w:rsidRDefault="00DD5CEB"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8240" behindDoc="0" locked="0" layoutInCell="1" allowOverlap="1" wp14:anchorId="24A2E3F8" wp14:editId="181064D5">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37D08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proofErr w:type="spellStart"/>
    <w:r w:rsidR="00FF2276" w:rsidRPr="00D23B5E">
      <w:rPr>
        <w:b/>
        <w:color w:val="FFFFFF"/>
        <w:sz w:val="22"/>
        <w:szCs w:val="22"/>
      </w:rPr>
      <w:t>IJCCS</w:t>
    </w:r>
    <w:r w:rsidR="00097958" w:rsidRPr="00D23B5E">
      <w:rPr>
        <w:color w:val="FFFFFF"/>
        <w:sz w:val="22"/>
        <w:szCs w:val="22"/>
      </w:rPr>
      <w:t>Vol</w:t>
    </w:r>
    <w:proofErr w:type="spellEnd"/>
    <w:r w:rsidR="00097958" w:rsidRPr="00D23B5E">
      <w:rPr>
        <w:color w:val="FFFFFF"/>
        <w:sz w:val="22"/>
        <w:szCs w:val="22"/>
      </w:rPr>
      <w:t xml:space="preserve">. </w:t>
    </w:r>
    <w:proofErr w:type="gramStart"/>
    <w:r w:rsidR="00097958" w:rsidRPr="00D23B5E">
      <w:rPr>
        <w:color w:val="FFFFFF"/>
        <w:sz w:val="22"/>
        <w:szCs w:val="22"/>
      </w:rPr>
      <w:t>x</w:t>
    </w:r>
    <w:proofErr w:type="gramEnd"/>
    <w:r w:rsidR="00097958" w:rsidRPr="00D23B5E">
      <w:rPr>
        <w:color w:val="FFFFFF"/>
        <w:sz w:val="22"/>
        <w:szCs w:val="22"/>
      </w:rPr>
      <w:t xml:space="preserve">, No. x, July 201x : </w:t>
    </w:r>
    <w:proofErr w:type="spellStart"/>
    <w:r w:rsidR="00097958" w:rsidRPr="00D23B5E">
      <w:rPr>
        <w:color w:val="FFFFFF"/>
        <w:sz w:val="22"/>
        <w:szCs w:val="22"/>
      </w:rPr>
      <w:t>first_page</w:t>
    </w:r>
    <w:proofErr w:type="spellEnd"/>
    <w:r w:rsidR="00097958" w:rsidRPr="00D23B5E">
      <w:rPr>
        <w:color w:val="FFFFFF"/>
        <w:sz w:val="22"/>
        <w:szCs w:val="22"/>
      </w:rPr>
      <w:t xml:space="preserve"> – </w:t>
    </w:r>
    <w:proofErr w:type="spellStart"/>
    <w:r w:rsidR="00097958"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88833"/>
      <w:docPartObj>
        <w:docPartGallery w:val="Page Numbers (Bottom of Page)"/>
        <w:docPartUnique/>
      </w:docPartObj>
    </w:sdtPr>
    <w:sdtEndPr>
      <w:rPr>
        <w:noProof/>
      </w:rPr>
    </w:sdtEndPr>
    <w:sdtContent>
      <w:p w14:paraId="0B03F8CF" w14:textId="0A5B88F0" w:rsidR="001E5F4E" w:rsidRDefault="001E5F4E">
        <w:pPr>
          <w:pStyle w:val="Footer"/>
          <w:jc w:val="right"/>
        </w:pPr>
        <w:r>
          <w:fldChar w:fldCharType="begin"/>
        </w:r>
        <w:r>
          <w:instrText xml:space="preserve"> PAGE   \* MERGEFORMAT </w:instrText>
        </w:r>
        <w:r>
          <w:fldChar w:fldCharType="separate"/>
        </w:r>
        <w:r w:rsidR="00110239">
          <w:rPr>
            <w:noProof/>
          </w:rPr>
          <w:t>76</w:t>
        </w:r>
        <w:r>
          <w:rPr>
            <w:noProof/>
          </w:rPr>
          <w:fldChar w:fldCharType="end"/>
        </w:r>
      </w:p>
    </w:sdtContent>
  </w:sdt>
  <w:p w14:paraId="2335B3FA" w14:textId="17DA1914" w:rsidR="00097958" w:rsidRPr="00D642E5" w:rsidRDefault="00097958" w:rsidP="00D642E5">
    <w:pPr>
      <w:pStyle w:val="Footer"/>
      <w:pBdr>
        <w:top w:val="single" w:sz="4" w:space="1" w:color="auto"/>
      </w:pBdr>
      <w:tabs>
        <w:tab w:val="clear" w:pos="4320"/>
        <w:tab w:val="clear" w:pos="8640"/>
        <w:tab w:val="left" w:pos="210"/>
      </w:tabs>
      <w:spacing w:before="24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2DC5"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 LPPM UNILAK</w:t>
    </w:r>
    <w:r>
      <w:rPr>
        <w:sz w:val="24"/>
        <w:szCs w:val="24"/>
      </w:rPr>
      <w:tab/>
    </w:r>
    <w:r>
      <w:rPr>
        <w:sz w:val="24"/>
        <w:szCs w:val="24"/>
      </w:rPr>
      <w:tab/>
    </w:r>
    <w:proofErr w:type="spellStart"/>
    <w:r w:rsidRPr="00D23B5E">
      <w:rPr>
        <w:i/>
        <w:color w:val="FFFFFF"/>
        <w:sz w:val="22"/>
        <w:szCs w:val="22"/>
      </w:rPr>
      <w:t>ly</w:t>
    </w:r>
    <w:proofErr w:type="spellEnd"/>
    <w:r w:rsidRPr="00D23B5E">
      <w:rPr>
        <w:i/>
        <w:color w:val="FFFFFF"/>
        <w:sz w:val="22"/>
        <w:szCs w:val="22"/>
      </w:rPr>
      <w:t xml:space="preserve"> 10th,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B0E1F" w14:textId="77777777" w:rsidR="00686CAE" w:rsidRDefault="00686CAE">
      <w:r>
        <w:separator/>
      </w:r>
    </w:p>
  </w:footnote>
  <w:footnote w:type="continuationSeparator" w:id="0">
    <w:p w14:paraId="3FDBD5EF" w14:textId="77777777" w:rsidR="00686CAE" w:rsidRDefault="0068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AC9D8" w14:textId="77777777"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0D1E1F0A" w14:textId="77777777" w:rsidR="00097958" w:rsidRPr="00C52A26" w:rsidRDefault="00DD5CEB"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14:anchorId="21CFEDAF" wp14:editId="40DE20F3">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C88818"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645F" w14:textId="77777777" w:rsidR="00A64599" w:rsidRPr="00A64599" w:rsidRDefault="00A64599" w:rsidP="00A64599">
    <w:pPr>
      <w:pStyle w:val="Header"/>
      <w:pBdr>
        <w:bottom w:val="single" w:sz="4" w:space="1" w:color="auto"/>
      </w:pBdr>
      <w:tabs>
        <w:tab w:val="right" w:pos="8766"/>
      </w:tabs>
      <w:rPr>
        <w:rFonts w:ascii="Franklin Gothic Heavy" w:hAnsi="Franklin Gothic Heavy"/>
        <w:sz w:val="22"/>
        <w:szCs w:val="22"/>
        <w:lang w:val="id-ID"/>
      </w:rPr>
    </w:pPr>
  </w:p>
  <w:p w14:paraId="37A7FE11" w14:textId="17FD7E15" w:rsidR="00D97147" w:rsidRDefault="00A64599" w:rsidP="00A64599">
    <w:pPr>
      <w:pStyle w:val="Header"/>
      <w:pBdr>
        <w:bottom w:val="single" w:sz="4" w:space="1" w:color="auto"/>
      </w:pBdr>
      <w:tabs>
        <w:tab w:val="clear" w:pos="8640"/>
        <w:tab w:val="right" w:pos="8766"/>
      </w:tabs>
      <w:jc w:val="both"/>
      <w:rPr>
        <w:sz w:val="22"/>
        <w:szCs w:val="22"/>
      </w:rPr>
    </w:pPr>
    <w:r w:rsidRPr="00A64599">
      <w:rPr>
        <w:rFonts w:ascii="Franklin Gothic Heavy" w:hAnsi="Franklin Gothic Heavy"/>
        <w:sz w:val="22"/>
        <w:szCs w:val="22"/>
        <w:lang w:val="id-ID"/>
      </w:rPr>
      <w:t>Social Sciences Journal (SSJ</w:t>
    </w:r>
    <w:r w:rsidR="0041491E">
      <w:rPr>
        <w:rFonts w:ascii="Franklin Gothic Heavy" w:hAnsi="Franklin Gothic Heavy"/>
        <w:sz w:val="22"/>
        <w:szCs w:val="22"/>
      </w:rPr>
      <w:t>)</w:t>
    </w:r>
    <w:r w:rsidR="00DD5CEB">
      <w:rPr>
        <w:sz w:val="22"/>
        <w:szCs w:val="22"/>
        <w:lang w:val="id-ID"/>
      </w:rPr>
      <w:tab/>
    </w:r>
    <w:r>
      <w:rPr>
        <w:sz w:val="22"/>
        <w:szCs w:val="22"/>
        <w:lang w:val="id-ID"/>
      </w:rPr>
      <w:tab/>
    </w:r>
    <w:r w:rsidR="00487972">
      <w:rPr>
        <w:sz w:val="22"/>
        <w:szCs w:val="22"/>
      </w:rPr>
      <w:t>Vol. 1, No. 1, 2024</w:t>
    </w:r>
  </w:p>
  <w:p w14:paraId="595135AB" w14:textId="2EDCCB20" w:rsidR="00A64599" w:rsidRDefault="00110239" w:rsidP="00110239">
    <w:pPr>
      <w:pStyle w:val="Header"/>
      <w:pBdr>
        <w:bottom w:val="single" w:sz="4" w:space="1" w:color="auto"/>
      </w:pBdr>
      <w:tabs>
        <w:tab w:val="clear" w:pos="8640"/>
        <w:tab w:val="right" w:pos="8766"/>
      </w:tabs>
      <w:rPr>
        <w:sz w:val="22"/>
        <w:szCs w:val="22"/>
      </w:rPr>
    </w:pPr>
    <w:bookmarkStart w:id="1" w:name="_GoBack"/>
    <w:bookmarkEnd w:id="1"/>
    <w:proofErr w:type="gramStart"/>
    <w:r w:rsidRPr="005739B8">
      <w:rPr>
        <w:rFonts w:eastAsia="SimSun"/>
        <w:b/>
        <w:color w:val="000000"/>
        <w:lang w:eastAsia="zh-CN" w:bidi="ar"/>
      </w:rPr>
      <w:t>ISSN :</w:t>
    </w:r>
    <w:proofErr w:type="gramEnd"/>
    <w:r w:rsidRPr="005739B8">
      <w:rPr>
        <w:rFonts w:eastAsia="SimSun"/>
        <w:b/>
        <w:color w:val="000000"/>
        <w:lang w:eastAsia="zh-CN" w:bidi="ar"/>
      </w:rPr>
      <w:t xml:space="preserve"> </w:t>
    </w:r>
    <w:r w:rsidRPr="005739B8">
      <w:rPr>
        <w:b/>
        <w:sz w:val="24"/>
        <w:szCs w:val="24"/>
      </w:rPr>
      <w:t xml:space="preserve">3026-7293                                                                                                    </w:t>
    </w:r>
    <w:r w:rsidR="00487972">
      <w:rPr>
        <w:sz w:val="22"/>
        <w:szCs w:val="22"/>
      </w:rPr>
      <w:tab/>
    </w:r>
    <w:r w:rsidR="00487972">
      <w:rPr>
        <w:sz w:val="22"/>
        <w:szCs w:val="22"/>
      </w:rPr>
      <w:tab/>
      <w:t>Page: 76-</w:t>
    </w:r>
    <w:r w:rsidR="001E5F4E">
      <w:rPr>
        <w:sz w:val="22"/>
        <w:szCs w:val="22"/>
      </w:rPr>
      <w:t>81</w:t>
    </w:r>
  </w:p>
  <w:p w14:paraId="64A9923D" w14:textId="40C57843" w:rsidR="00A64599" w:rsidRPr="00434CB1" w:rsidRDefault="00A64599" w:rsidP="00A64599">
    <w:pPr>
      <w:pStyle w:val="Header"/>
      <w:pBdr>
        <w:bottom w:val="single" w:sz="4" w:space="1" w:color="auto"/>
      </w:pBdr>
      <w:tabs>
        <w:tab w:val="clear" w:pos="8640"/>
        <w:tab w:val="right" w:pos="8766"/>
      </w:tabs>
      <w:rPr>
        <w:sz w:val="22"/>
        <w:szCs w:val="22"/>
        <w:lang w:val="id-ID"/>
      </w:rPr>
    </w:pPr>
    <w:r>
      <w:rPr>
        <w:sz w:val="22"/>
        <w:szCs w:val="22"/>
      </w:rPr>
      <w:tab/>
      <w:t xml:space="preserve">      </w:t>
    </w:r>
    <w:r w:rsidR="00487972">
      <w:rPr>
        <w:sz w:val="22"/>
        <w:szCs w:val="22"/>
      </w:rPr>
      <w:t xml:space="preserve">                               </w:t>
    </w:r>
  </w:p>
  <w:p w14:paraId="42CAB083" w14:textId="77777777" w:rsidR="00097958" w:rsidRPr="00D97147" w:rsidRDefault="00097958" w:rsidP="00D9714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6E1B"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DYNAMIC</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Dec 2017</w:t>
    </w:r>
    <w:r w:rsidR="00203BE4" w:rsidRPr="00C46B50">
      <w:rPr>
        <w:sz w:val="22"/>
        <w:szCs w:val="22"/>
      </w:rPr>
      <w:tab/>
    </w:r>
  </w:p>
  <w:p w14:paraId="23F2E47E" w14:textId="77777777" w:rsidR="00FE33F0" w:rsidRDefault="00FE33F0" w:rsidP="00FE33F0">
    <w:pPr>
      <w:pStyle w:val="Header"/>
      <w:pBdr>
        <w:bottom w:val="single" w:sz="4" w:space="1" w:color="auto"/>
      </w:pBdr>
      <w:tabs>
        <w:tab w:val="clear" w:pos="4320"/>
        <w:tab w:val="clear" w:pos="8640"/>
      </w:tabs>
      <w:ind w:right="45"/>
      <w:rPr>
        <w:sz w:val="22"/>
        <w:szCs w:val="22"/>
      </w:rPr>
    </w:pPr>
  </w:p>
  <w:p w14:paraId="383471B8"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75453"/>
    <w:multiLevelType w:val="hybridMultilevel"/>
    <w:tmpl w:val="6B14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3146C0"/>
    <w:multiLevelType w:val="hybridMultilevel"/>
    <w:tmpl w:val="506C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835F7D"/>
    <w:multiLevelType w:val="hybridMultilevel"/>
    <w:tmpl w:val="E506C3C0"/>
    <w:lvl w:ilvl="0" w:tplc="1D84BC06">
      <w:start w:val="1"/>
      <w:numFmt w:val="decimal"/>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18"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7"/>
  </w:num>
  <w:num w:numId="10">
    <w:abstractNumId w:val="2"/>
  </w:num>
  <w:num w:numId="11">
    <w:abstractNumId w:val="1"/>
  </w:num>
  <w:num w:numId="12">
    <w:abstractNumId w:val="5"/>
  </w:num>
  <w:num w:numId="13">
    <w:abstractNumId w:val="4"/>
  </w:num>
  <w:num w:numId="14">
    <w:abstractNumId w:val="6"/>
  </w:num>
  <w:num w:numId="15">
    <w:abstractNumId w:val="17"/>
  </w:num>
  <w:num w:numId="16">
    <w:abstractNumId w:val="18"/>
  </w:num>
  <w:num w:numId="17">
    <w:abstractNumId w:val="8"/>
  </w:num>
  <w:num w:numId="18">
    <w:abstractNumId w:val="0"/>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07F38"/>
    <w:rsid w:val="000106D0"/>
    <w:rsid w:val="00012CEF"/>
    <w:rsid w:val="00013825"/>
    <w:rsid w:val="000142B3"/>
    <w:rsid w:val="00014633"/>
    <w:rsid w:val="00015F2A"/>
    <w:rsid w:val="00017858"/>
    <w:rsid w:val="00021BF8"/>
    <w:rsid w:val="000233D5"/>
    <w:rsid w:val="00025C34"/>
    <w:rsid w:val="00027142"/>
    <w:rsid w:val="0002767D"/>
    <w:rsid w:val="000279BE"/>
    <w:rsid w:val="000300D0"/>
    <w:rsid w:val="00034C84"/>
    <w:rsid w:val="00040355"/>
    <w:rsid w:val="000416A3"/>
    <w:rsid w:val="000437AE"/>
    <w:rsid w:val="000474E3"/>
    <w:rsid w:val="00047710"/>
    <w:rsid w:val="00050C9E"/>
    <w:rsid w:val="000523C5"/>
    <w:rsid w:val="00053FB7"/>
    <w:rsid w:val="0006020A"/>
    <w:rsid w:val="00060330"/>
    <w:rsid w:val="00060F5C"/>
    <w:rsid w:val="00061D77"/>
    <w:rsid w:val="00062720"/>
    <w:rsid w:val="00066063"/>
    <w:rsid w:val="0007154C"/>
    <w:rsid w:val="00071CFF"/>
    <w:rsid w:val="0007236F"/>
    <w:rsid w:val="00072797"/>
    <w:rsid w:val="00073635"/>
    <w:rsid w:val="00076C16"/>
    <w:rsid w:val="000776D4"/>
    <w:rsid w:val="00080CCD"/>
    <w:rsid w:val="000830A2"/>
    <w:rsid w:val="0008319B"/>
    <w:rsid w:val="00083B9D"/>
    <w:rsid w:val="00083DD6"/>
    <w:rsid w:val="00085121"/>
    <w:rsid w:val="00086551"/>
    <w:rsid w:val="000877AC"/>
    <w:rsid w:val="00087876"/>
    <w:rsid w:val="00087AF7"/>
    <w:rsid w:val="00090B78"/>
    <w:rsid w:val="00093380"/>
    <w:rsid w:val="00094EB8"/>
    <w:rsid w:val="00095C3E"/>
    <w:rsid w:val="00096633"/>
    <w:rsid w:val="00096883"/>
    <w:rsid w:val="000973CC"/>
    <w:rsid w:val="00097958"/>
    <w:rsid w:val="00097E2D"/>
    <w:rsid w:val="000A15DA"/>
    <w:rsid w:val="000A592D"/>
    <w:rsid w:val="000A643C"/>
    <w:rsid w:val="000A7ACA"/>
    <w:rsid w:val="000B0641"/>
    <w:rsid w:val="000B4B5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4C3D"/>
    <w:rsid w:val="000F61E2"/>
    <w:rsid w:val="000F7ED5"/>
    <w:rsid w:val="0010046E"/>
    <w:rsid w:val="00102377"/>
    <w:rsid w:val="00102A61"/>
    <w:rsid w:val="001041EB"/>
    <w:rsid w:val="00104BF1"/>
    <w:rsid w:val="00106F02"/>
    <w:rsid w:val="001078A8"/>
    <w:rsid w:val="00107904"/>
    <w:rsid w:val="00110239"/>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1D08"/>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5F4E"/>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26631"/>
    <w:rsid w:val="00230440"/>
    <w:rsid w:val="00230AAB"/>
    <w:rsid w:val="00232081"/>
    <w:rsid w:val="00232DA1"/>
    <w:rsid w:val="00234CC4"/>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44B"/>
    <w:rsid w:val="002B6EC9"/>
    <w:rsid w:val="002B7029"/>
    <w:rsid w:val="002B7609"/>
    <w:rsid w:val="002C0665"/>
    <w:rsid w:val="002C1699"/>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3A"/>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1E"/>
    <w:rsid w:val="00414925"/>
    <w:rsid w:val="00420D64"/>
    <w:rsid w:val="00424E85"/>
    <w:rsid w:val="00425BE9"/>
    <w:rsid w:val="00427072"/>
    <w:rsid w:val="00433AA3"/>
    <w:rsid w:val="00434CB1"/>
    <w:rsid w:val="0043585C"/>
    <w:rsid w:val="00441F35"/>
    <w:rsid w:val="00443205"/>
    <w:rsid w:val="004439D2"/>
    <w:rsid w:val="004503E9"/>
    <w:rsid w:val="00453463"/>
    <w:rsid w:val="004550E4"/>
    <w:rsid w:val="00456462"/>
    <w:rsid w:val="00460176"/>
    <w:rsid w:val="00461548"/>
    <w:rsid w:val="00461BBF"/>
    <w:rsid w:val="004637E8"/>
    <w:rsid w:val="00467368"/>
    <w:rsid w:val="004674CD"/>
    <w:rsid w:val="004710EE"/>
    <w:rsid w:val="00472E56"/>
    <w:rsid w:val="004740EC"/>
    <w:rsid w:val="004819CF"/>
    <w:rsid w:val="00481E6B"/>
    <w:rsid w:val="00482432"/>
    <w:rsid w:val="00484866"/>
    <w:rsid w:val="004859D6"/>
    <w:rsid w:val="00485FD1"/>
    <w:rsid w:val="00487972"/>
    <w:rsid w:val="0048797E"/>
    <w:rsid w:val="00487DD3"/>
    <w:rsid w:val="004902C8"/>
    <w:rsid w:val="004905D4"/>
    <w:rsid w:val="00492E44"/>
    <w:rsid w:val="0049431F"/>
    <w:rsid w:val="004947B9"/>
    <w:rsid w:val="0049514C"/>
    <w:rsid w:val="00496DFD"/>
    <w:rsid w:val="004A0C8B"/>
    <w:rsid w:val="004A187E"/>
    <w:rsid w:val="004A2A47"/>
    <w:rsid w:val="004A335F"/>
    <w:rsid w:val="004A3F3D"/>
    <w:rsid w:val="004A4FDB"/>
    <w:rsid w:val="004A5496"/>
    <w:rsid w:val="004A5FC0"/>
    <w:rsid w:val="004A7C83"/>
    <w:rsid w:val="004B1FFE"/>
    <w:rsid w:val="004B2F8C"/>
    <w:rsid w:val="004B4EDE"/>
    <w:rsid w:val="004B589F"/>
    <w:rsid w:val="004B661B"/>
    <w:rsid w:val="004B76DC"/>
    <w:rsid w:val="004C0B2C"/>
    <w:rsid w:val="004C3BEB"/>
    <w:rsid w:val="004C4925"/>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6F3"/>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08DC"/>
    <w:rsid w:val="00562B2B"/>
    <w:rsid w:val="00563102"/>
    <w:rsid w:val="005657D7"/>
    <w:rsid w:val="005705B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3CA"/>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6D2A"/>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5BEE"/>
    <w:rsid w:val="0061627D"/>
    <w:rsid w:val="006206C7"/>
    <w:rsid w:val="00622EC4"/>
    <w:rsid w:val="00624875"/>
    <w:rsid w:val="0062488B"/>
    <w:rsid w:val="00625AEA"/>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6CAE"/>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1F25"/>
    <w:rsid w:val="006C6374"/>
    <w:rsid w:val="006C6571"/>
    <w:rsid w:val="006D29E6"/>
    <w:rsid w:val="006D449D"/>
    <w:rsid w:val="006D4B12"/>
    <w:rsid w:val="006D5851"/>
    <w:rsid w:val="006D5DAA"/>
    <w:rsid w:val="006D60D9"/>
    <w:rsid w:val="006D6178"/>
    <w:rsid w:val="006D741E"/>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470"/>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343A"/>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6058"/>
    <w:rsid w:val="008D7EA2"/>
    <w:rsid w:val="008E151E"/>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75"/>
    <w:rsid w:val="009314C3"/>
    <w:rsid w:val="009317FD"/>
    <w:rsid w:val="009406FF"/>
    <w:rsid w:val="009416C1"/>
    <w:rsid w:val="00941CD2"/>
    <w:rsid w:val="009425AA"/>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E0249"/>
    <w:rsid w:val="009E055A"/>
    <w:rsid w:val="009E0C4E"/>
    <w:rsid w:val="009E0F0F"/>
    <w:rsid w:val="009E36AC"/>
    <w:rsid w:val="009E4FB4"/>
    <w:rsid w:val="009E5694"/>
    <w:rsid w:val="009E585B"/>
    <w:rsid w:val="009F040E"/>
    <w:rsid w:val="009F3673"/>
    <w:rsid w:val="00A02DD3"/>
    <w:rsid w:val="00A04D6C"/>
    <w:rsid w:val="00A05622"/>
    <w:rsid w:val="00A06053"/>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599"/>
    <w:rsid w:val="00A648CF"/>
    <w:rsid w:val="00A65242"/>
    <w:rsid w:val="00A653A6"/>
    <w:rsid w:val="00A655AB"/>
    <w:rsid w:val="00A65646"/>
    <w:rsid w:val="00A656B3"/>
    <w:rsid w:val="00A65ECB"/>
    <w:rsid w:val="00A662A3"/>
    <w:rsid w:val="00A6697F"/>
    <w:rsid w:val="00A6703D"/>
    <w:rsid w:val="00A71C8A"/>
    <w:rsid w:val="00A71ED6"/>
    <w:rsid w:val="00A75CE7"/>
    <w:rsid w:val="00A77710"/>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10E"/>
    <w:rsid w:val="00AC1194"/>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665"/>
    <w:rsid w:val="00B809F3"/>
    <w:rsid w:val="00B80B6B"/>
    <w:rsid w:val="00B85932"/>
    <w:rsid w:val="00B87588"/>
    <w:rsid w:val="00B92474"/>
    <w:rsid w:val="00B92F96"/>
    <w:rsid w:val="00B94B26"/>
    <w:rsid w:val="00BA2419"/>
    <w:rsid w:val="00BA2A8C"/>
    <w:rsid w:val="00BA6285"/>
    <w:rsid w:val="00BB0F2F"/>
    <w:rsid w:val="00BB1C66"/>
    <w:rsid w:val="00BB37AB"/>
    <w:rsid w:val="00BB4626"/>
    <w:rsid w:val="00BB524D"/>
    <w:rsid w:val="00BB5385"/>
    <w:rsid w:val="00BB5653"/>
    <w:rsid w:val="00BB6E3C"/>
    <w:rsid w:val="00BC133D"/>
    <w:rsid w:val="00BC3E9C"/>
    <w:rsid w:val="00BC4AF5"/>
    <w:rsid w:val="00BC5AA5"/>
    <w:rsid w:val="00BC7CC2"/>
    <w:rsid w:val="00BD049F"/>
    <w:rsid w:val="00BD0E9D"/>
    <w:rsid w:val="00BD218A"/>
    <w:rsid w:val="00BD354D"/>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5E74"/>
    <w:rsid w:val="00BF6218"/>
    <w:rsid w:val="00BF74E5"/>
    <w:rsid w:val="00C00EA2"/>
    <w:rsid w:val="00C011EE"/>
    <w:rsid w:val="00C02535"/>
    <w:rsid w:val="00C0352A"/>
    <w:rsid w:val="00C0425B"/>
    <w:rsid w:val="00C05811"/>
    <w:rsid w:val="00C1015B"/>
    <w:rsid w:val="00C103A1"/>
    <w:rsid w:val="00C10A10"/>
    <w:rsid w:val="00C10D6A"/>
    <w:rsid w:val="00C10EC0"/>
    <w:rsid w:val="00C11AC5"/>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1A05"/>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C462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26E94"/>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5CEB"/>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314"/>
    <w:rsid w:val="00E224D8"/>
    <w:rsid w:val="00E22D12"/>
    <w:rsid w:val="00E23470"/>
    <w:rsid w:val="00E23F00"/>
    <w:rsid w:val="00E26A0F"/>
    <w:rsid w:val="00E318D4"/>
    <w:rsid w:val="00E33889"/>
    <w:rsid w:val="00E339EE"/>
    <w:rsid w:val="00E351E7"/>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4BBD"/>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18B0"/>
    <w:rsid w:val="00EF4911"/>
    <w:rsid w:val="00EF4996"/>
    <w:rsid w:val="00EF754D"/>
    <w:rsid w:val="00F027E9"/>
    <w:rsid w:val="00F0775E"/>
    <w:rsid w:val="00F07E0A"/>
    <w:rsid w:val="00F1011B"/>
    <w:rsid w:val="00F15F69"/>
    <w:rsid w:val="00F1612D"/>
    <w:rsid w:val="00F173DD"/>
    <w:rsid w:val="00F21119"/>
    <w:rsid w:val="00F25164"/>
    <w:rsid w:val="00F277D3"/>
    <w:rsid w:val="00F30997"/>
    <w:rsid w:val="00F32896"/>
    <w:rsid w:val="00F363E5"/>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6085"/>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9CB33"/>
  <w15:chartTrackingRefBased/>
  <w15:docId w15:val="{DF9A449D-282F-4C4A-8743-14109456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
    <w:name w:val="Unresolved Mention"/>
    <w:uiPriority w:val="99"/>
    <w:semiHidden/>
    <w:unhideWhenUsed/>
    <w:rsid w:val="00E33889"/>
    <w:rPr>
      <w:color w:val="808080"/>
      <w:shd w:val="clear" w:color="auto" w:fill="E6E6E6"/>
    </w:rPr>
  </w:style>
  <w:style w:type="character" w:customStyle="1" w:styleId="Heading2Char">
    <w:name w:val="Heading 2 Char"/>
    <w:link w:val="Heading2"/>
    <w:locked/>
    <w:rsid w:val="00481E6B"/>
    <w:rPr>
      <w:rFonts w:ascii="Arial" w:hAnsi="Arial" w:cs="Arial"/>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83AB-784E-4C0A-9451-67567005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8112</Words>
  <Characters>46243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54247</CharactersWithSpaces>
  <SharedDoc>false</SharedDoc>
  <HLinks>
    <vt:vector size="24"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4194372</vt:i4>
      </vt:variant>
      <vt:variant>
        <vt:i4>3</vt:i4>
      </vt:variant>
      <vt:variant>
        <vt:i4>0</vt:i4>
      </vt:variant>
      <vt:variant>
        <vt:i4>5</vt:i4>
      </vt:variant>
      <vt:variant>
        <vt:lpwstr>http://dx.doi.org/10.1037/0278-6133.24.2.225</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axioo</cp:lastModifiedBy>
  <cp:revision>57</cp:revision>
  <cp:lastPrinted>2020-01-29T04:32:00Z</cp:lastPrinted>
  <dcterms:created xsi:type="dcterms:W3CDTF">2024-01-04T05:28:00Z</dcterms:created>
  <dcterms:modified xsi:type="dcterms:W3CDTF">2024-01-15T11:48:00Z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71e3eef1-19f6-3aee-8900-ad5ea646eae7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